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bookmarkStart w:id="0" w:name="_GoBack"/>
      <w:bookmarkEnd w:id="0"/>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E6116">
        <w:trPr>
          <w:cantSplit/>
          <w:trHeight w:hRule="exact" w:val="1440"/>
          <w:jc w:val="right"/>
        </w:trPr>
        <w:tc>
          <w:tcPr>
            <w:tcW w:w="9000" w:type="dxa"/>
            <w:shd w:val="clear" w:color="auto" w:fill="8DC63F"/>
            <w:vAlign w:val="center"/>
          </w:tcPr>
          <w:p w14:paraId="3EF67A49" w14:textId="632FAFCF" w:rsidR="00BD221D" w:rsidRPr="00BE6116" w:rsidRDefault="006B1823" w:rsidP="00BD221D">
            <w:pPr>
              <w:pStyle w:val="eTRMHeading1"/>
              <w:jc w:val="center"/>
              <w:rPr>
                <w:sz w:val="28"/>
              </w:rPr>
            </w:pPr>
            <w:r>
              <w:rPr>
                <w:sz w:val="28"/>
              </w:rPr>
              <w:t>Service &amp; Domestic Hot Water</w:t>
            </w:r>
          </w:p>
          <w:p w14:paraId="449F718E" w14:textId="75AB281A" w:rsidR="00BD221D" w:rsidRPr="00BE6116" w:rsidRDefault="00E851E6">
            <w:pPr>
              <w:pStyle w:val="eTRMHeading2"/>
              <w:rPr>
                <w:sz w:val="24"/>
              </w:rPr>
            </w:pPr>
            <w:r w:rsidRPr="00834C97">
              <w:t>FAUCET AERATOR</w:t>
            </w:r>
            <w:r w:rsidR="00123395" w:rsidRPr="00834C97">
              <w:t>,</w:t>
            </w:r>
            <w:r w:rsidR="006D306E" w:rsidRPr="00834C97">
              <w:t xml:space="preserve"> </w:t>
            </w:r>
            <w:r w:rsidRPr="00834C97">
              <w:t xml:space="preserve">RESIDENTIAL </w:t>
            </w:r>
          </w:p>
          <w:p w14:paraId="10BE1877" w14:textId="097387F2" w:rsidR="00834C97" w:rsidRPr="00A1430D" w:rsidRDefault="00834C97">
            <w:pPr>
              <w:pStyle w:val="eTRMHeading2"/>
              <w:rPr>
                <w:spacing w:val="0"/>
              </w:rPr>
            </w:pPr>
            <w:r w:rsidRPr="00A1430D">
              <w:rPr>
                <w:spacing w:val="0"/>
                <w:sz w:val="28"/>
              </w:rPr>
              <w:t>SWWH001-0</w:t>
            </w:r>
            <w:r w:rsidR="00150BC2">
              <w:rPr>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05BE29CC" w14:textId="36089246" w:rsidR="00D50CE5"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D50CE5">
        <w:rPr>
          <w:noProof/>
        </w:rPr>
        <w:t>Measure Name</w:t>
      </w:r>
      <w:r w:rsidR="00D50CE5">
        <w:rPr>
          <w:noProof/>
        </w:rPr>
        <w:tab/>
      </w:r>
      <w:r w:rsidR="00D50CE5">
        <w:rPr>
          <w:noProof/>
        </w:rPr>
        <w:fldChar w:fldCharType="begin"/>
      </w:r>
      <w:r w:rsidR="00D50CE5">
        <w:rPr>
          <w:noProof/>
        </w:rPr>
        <w:instrText xml:space="preserve"> PAGEREF _Toc12567157 \h </w:instrText>
      </w:r>
      <w:r w:rsidR="00D50CE5">
        <w:rPr>
          <w:noProof/>
        </w:rPr>
      </w:r>
      <w:r w:rsidR="00D50CE5">
        <w:rPr>
          <w:noProof/>
        </w:rPr>
        <w:fldChar w:fldCharType="separate"/>
      </w:r>
      <w:r w:rsidR="004F15A9">
        <w:rPr>
          <w:noProof/>
        </w:rPr>
        <w:t>2</w:t>
      </w:r>
      <w:r w:rsidR="00D50CE5">
        <w:rPr>
          <w:noProof/>
        </w:rPr>
        <w:fldChar w:fldCharType="end"/>
      </w:r>
    </w:p>
    <w:p w14:paraId="6B561F0B" w14:textId="19425742" w:rsidR="00D50CE5" w:rsidRDefault="00D50CE5">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_Toc12567158 \h </w:instrText>
      </w:r>
      <w:r>
        <w:rPr>
          <w:noProof/>
        </w:rPr>
      </w:r>
      <w:r>
        <w:rPr>
          <w:noProof/>
        </w:rPr>
        <w:fldChar w:fldCharType="separate"/>
      </w:r>
      <w:r w:rsidR="004F15A9">
        <w:rPr>
          <w:noProof/>
        </w:rPr>
        <w:t>2</w:t>
      </w:r>
      <w:r>
        <w:rPr>
          <w:noProof/>
        </w:rPr>
        <w:fldChar w:fldCharType="end"/>
      </w:r>
    </w:p>
    <w:p w14:paraId="61F1E214" w14:textId="04CF37AA" w:rsidR="00D50CE5" w:rsidRDefault="00D50CE5">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_Toc12567159 \h </w:instrText>
      </w:r>
      <w:r>
        <w:rPr>
          <w:noProof/>
        </w:rPr>
      </w:r>
      <w:r>
        <w:rPr>
          <w:noProof/>
        </w:rPr>
        <w:fldChar w:fldCharType="separate"/>
      </w:r>
      <w:r w:rsidR="004F15A9">
        <w:rPr>
          <w:noProof/>
        </w:rPr>
        <w:t>2</w:t>
      </w:r>
      <w:r>
        <w:rPr>
          <w:noProof/>
        </w:rPr>
        <w:fldChar w:fldCharType="end"/>
      </w:r>
    </w:p>
    <w:p w14:paraId="177B077D" w14:textId="6E98EFD6" w:rsidR="00D50CE5" w:rsidRDefault="00D50CE5">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_Toc12567160 \h </w:instrText>
      </w:r>
      <w:r>
        <w:rPr>
          <w:noProof/>
        </w:rPr>
      </w:r>
      <w:r>
        <w:rPr>
          <w:noProof/>
        </w:rPr>
        <w:fldChar w:fldCharType="separate"/>
      </w:r>
      <w:r w:rsidR="004F15A9">
        <w:rPr>
          <w:noProof/>
        </w:rPr>
        <w:t>2</w:t>
      </w:r>
      <w:r>
        <w:rPr>
          <w:noProof/>
        </w:rPr>
        <w:fldChar w:fldCharType="end"/>
      </w:r>
    </w:p>
    <w:p w14:paraId="65DB014D" w14:textId="389A60BC" w:rsidR="00D50CE5" w:rsidRDefault="00D50CE5">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_Toc12567161 \h </w:instrText>
      </w:r>
      <w:r>
        <w:rPr>
          <w:noProof/>
        </w:rPr>
      </w:r>
      <w:r>
        <w:rPr>
          <w:noProof/>
        </w:rPr>
        <w:fldChar w:fldCharType="separate"/>
      </w:r>
      <w:r w:rsidR="004F15A9">
        <w:rPr>
          <w:noProof/>
        </w:rPr>
        <w:t>3</w:t>
      </w:r>
      <w:r>
        <w:rPr>
          <w:noProof/>
        </w:rPr>
        <w:fldChar w:fldCharType="end"/>
      </w:r>
    </w:p>
    <w:p w14:paraId="1DCDDE56" w14:textId="1B348FE8" w:rsidR="00D50CE5" w:rsidRDefault="00D50CE5">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_Toc12567162 \h </w:instrText>
      </w:r>
      <w:r>
        <w:rPr>
          <w:noProof/>
        </w:rPr>
      </w:r>
      <w:r>
        <w:rPr>
          <w:noProof/>
        </w:rPr>
        <w:fldChar w:fldCharType="separate"/>
      </w:r>
      <w:r w:rsidR="004F15A9">
        <w:rPr>
          <w:noProof/>
        </w:rPr>
        <w:t>4</w:t>
      </w:r>
      <w:r>
        <w:rPr>
          <w:noProof/>
        </w:rPr>
        <w:fldChar w:fldCharType="end"/>
      </w:r>
    </w:p>
    <w:p w14:paraId="7DD74A47" w14:textId="61AA28FE" w:rsidR="00D50CE5" w:rsidRDefault="00D50CE5">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_Toc12567163 \h </w:instrText>
      </w:r>
      <w:r>
        <w:rPr>
          <w:noProof/>
        </w:rPr>
      </w:r>
      <w:r>
        <w:rPr>
          <w:noProof/>
        </w:rPr>
        <w:fldChar w:fldCharType="separate"/>
      </w:r>
      <w:r w:rsidR="004F15A9">
        <w:rPr>
          <w:noProof/>
        </w:rPr>
        <w:t>5</w:t>
      </w:r>
      <w:r>
        <w:rPr>
          <w:noProof/>
        </w:rPr>
        <w:fldChar w:fldCharType="end"/>
      </w:r>
    </w:p>
    <w:p w14:paraId="4749791C" w14:textId="3372FCEE" w:rsidR="00D50CE5" w:rsidRDefault="00D50CE5">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_Toc12567164 \h </w:instrText>
      </w:r>
      <w:r>
        <w:rPr>
          <w:noProof/>
        </w:rPr>
      </w:r>
      <w:r>
        <w:rPr>
          <w:noProof/>
        </w:rPr>
        <w:fldChar w:fldCharType="separate"/>
      </w:r>
      <w:r w:rsidR="004F15A9">
        <w:rPr>
          <w:noProof/>
        </w:rPr>
        <w:t>5</w:t>
      </w:r>
      <w:r>
        <w:rPr>
          <w:noProof/>
        </w:rPr>
        <w:fldChar w:fldCharType="end"/>
      </w:r>
    </w:p>
    <w:p w14:paraId="68B7EFA0" w14:textId="7AA482A9" w:rsidR="00D50CE5" w:rsidRDefault="00D50CE5">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_Toc12567165 \h </w:instrText>
      </w:r>
      <w:r>
        <w:rPr>
          <w:noProof/>
        </w:rPr>
      </w:r>
      <w:r>
        <w:rPr>
          <w:noProof/>
        </w:rPr>
        <w:fldChar w:fldCharType="separate"/>
      </w:r>
      <w:r w:rsidR="004F15A9">
        <w:rPr>
          <w:noProof/>
        </w:rPr>
        <w:t>6</w:t>
      </w:r>
      <w:r>
        <w:rPr>
          <w:noProof/>
        </w:rPr>
        <w:fldChar w:fldCharType="end"/>
      </w:r>
    </w:p>
    <w:p w14:paraId="7370BFC3" w14:textId="6626F116" w:rsidR="00D50CE5" w:rsidRDefault="00D50CE5">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_Toc12567166 \h </w:instrText>
      </w:r>
      <w:r>
        <w:rPr>
          <w:noProof/>
        </w:rPr>
      </w:r>
      <w:r>
        <w:rPr>
          <w:noProof/>
        </w:rPr>
        <w:fldChar w:fldCharType="separate"/>
      </w:r>
      <w:r w:rsidR="004F15A9">
        <w:rPr>
          <w:noProof/>
        </w:rPr>
        <w:t>7</w:t>
      </w:r>
      <w:r>
        <w:rPr>
          <w:noProof/>
        </w:rPr>
        <w:fldChar w:fldCharType="end"/>
      </w:r>
    </w:p>
    <w:p w14:paraId="47799898" w14:textId="19EB7CD6" w:rsidR="00D50CE5" w:rsidRDefault="00D50CE5">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_Toc12567167 \h </w:instrText>
      </w:r>
      <w:r>
        <w:rPr>
          <w:noProof/>
        </w:rPr>
      </w:r>
      <w:r>
        <w:rPr>
          <w:noProof/>
        </w:rPr>
        <w:fldChar w:fldCharType="separate"/>
      </w:r>
      <w:r w:rsidR="004F15A9">
        <w:rPr>
          <w:noProof/>
        </w:rPr>
        <w:t>7</w:t>
      </w:r>
      <w:r>
        <w:rPr>
          <w:noProof/>
        </w:rPr>
        <w:fldChar w:fldCharType="end"/>
      </w:r>
    </w:p>
    <w:p w14:paraId="1EDFE9B2" w14:textId="5AECC1A6" w:rsidR="00D50CE5" w:rsidRDefault="00D50CE5">
      <w:pPr>
        <w:pStyle w:val="TOC3"/>
        <w:rPr>
          <w:rFonts w:asciiTheme="minorHAnsi" w:hAnsiTheme="minorHAnsi"/>
          <w:noProof/>
          <w:szCs w:val="22"/>
        </w:rPr>
      </w:pPr>
      <w:r>
        <w:rPr>
          <w:noProof/>
        </w:rPr>
        <w:t>Electric Savings (</w:t>
      </w:r>
      <w:r w:rsidRPr="00766DD3">
        <w:rPr>
          <w:noProof/>
        </w:rPr>
        <w:t>kWh</w:t>
      </w:r>
      <w:r>
        <w:rPr>
          <w:noProof/>
        </w:rPr>
        <w:t>)</w:t>
      </w:r>
      <w:r>
        <w:rPr>
          <w:noProof/>
        </w:rPr>
        <w:tab/>
      </w:r>
      <w:r>
        <w:rPr>
          <w:noProof/>
        </w:rPr>
        <w:fldChar w:fldCharType="begin"/>
      </w:r>
      <w:r>
        <w:rPr>
          <w:noProof/>
        </w:rPr>
        <w:instrText xml:space="preserve"> PAGEREF _Toc12567168 \h </w:instrText>
      </w:r>
      <w:r>
        <w:rPr>
          <w:noProof/>
        </w:rPr>
      </w:r>
      <w:r>
        <w:rPr>
          <w:noProof/>
        </w:rPr>
        <w:fldChar w:fldCharType="separate"/>
      </w:r>
      <w:r w:rsidR="004F15A9">
        <w:rPr>
          <w:noProof/>
        </w:rPr>
        <w:t>7</w:t>
      </w:r>
      <w:r>
        <w:rPr>
          <w:noProof/>
        </w:rPr>
        <w:fldChar w:fldCharType="end"/>
      </w:r>
    </w:p>
    <w:p w14:paraId="0F15096A" w14:textId="4055E602" w:rsidR="00D50CE5" w:rsidRDefault="00D50CE5">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_Toc12567169 \h </w:instrText>
      </w:r>
      <w:r>
        <w:rPr>
          <w:noProof/>
        </w:rPr>
      </w:r>
      <w:r>
        <w:rPr>
          <w:noProof/>
        </w:rPr>
        <w:fldChar w:fldCharType="separate"/>
      </w:r>
      <w:r w:rsidR="004F15A9">
        <w:rPr>
          <w:noProof/>
        </w:rPr>
        <w:t>13</w:t>
      </w:r>
      <w:r>
        <w:rPr>
          <w:noProof/>
        </w:rPr>
        <w:fldChar w:fldCharType="end"/>
      </w:r>
    </w:p>
    <w:p w14:paraId="3516E061" w14:textId="6A8233B5" w:rsidR="00D50CE5" w:rsidRDefault="00D50CE5">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_Toc12567170 \h </w:instrText>
      </w:r>
      <w:r>
        <w:rPr>
          <w:noProof/>
        </w:rPr>
      </w:r>
      <w:r>
        <w:rPr>
          <w:noProof/>
        </w:rPr>
        <w:fldChar w:fldCharType="separate"/>
      </w:r>
      <w:r w:rsidR="004F15A9">
        <w:rPr>
          <w:noProof/>
        </w:rPr>
        <w:t>13</w:t>
      </w:r>
      <w:r>
        <w:rPr>
          <w:noProof/>
        </w:rPr>
        <w:fldChar w:fldCharType="end"/>
      </w:r>
    </w:p>
    <w:p w14:paraId="49AABDE8" w14:textId="38FDE529" w:rsidR="00D50CE5" w:rsidRDefault="00D50CE5">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_Toc12567171 \h </w:instrText>
      </w:r>
      <w:r>
        <w:rPr>
          <w:noProof/>
        </w:rPr>
      </w:r>
      <w:r>
        <w:rPr>
          <w:noProof/>
        </w:rPr>
        <w:fldChar w:fldCharType="separate"/>
      </w:r>
      <w:r w:rsidR="004F15A9">
        <w:rPr>
          <w:noProof/>
        </w:rPr>
        <w:t>14</w:t>
      </w:r>
      <w:r>
        <w:rPr>
          <w:noProof/>
        </w:rPr>
        <w:fldChar w:fldCharType="end"/>
      </w:r>
    </w:p>
    <w:p w14:paraId="364450DD" w14:textId="4F49CFAD" w:rsidR="00D50CE5" w:rsidRDefault="00D50CE5">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_Toc12567172 \h </w:instrText>
      </w:r>
      <w:r>
        <w:rPr>
          <w:noProof/>
        </w:rPr>
      </w:r>
      <w:r>
        <w:rPr>
          <w:noProof/>
        </w:rPr>
        <w:fldChar w:fldCharType="separate"/>
      </w:r>
      <w:r w:rsidR="004F15A9">
        <w:rPr>
          <w:noProof/>
        </w:rPr>
        <w:t>14</w:t>
      </w:r>
      <w:r>
        <w:rPr>
          <w:noProof/>
        </w:rPr>
        <w:fldChar w:fldCharType="end"/>
      </w:r>
    </w:p>
    <w:p w14:paraId="75DEF11E" w14:textId="68E92C4C" w:rsidR="00D50CE5" w:rsidRDefault="00D50CE5">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_Toc12567173 \h </w:instrText>
      </w:r>
      <w:r>
        <w:rPr>
          <w:noProof/>
        </w:rPr>
      </w:r>
      <w:r>
        <w:rPr>
          <w:noProof/>
        </w:rPr>
        <w:fldChar w:fldCharType="separate"/>
      </w:r>
      <w:r w:rsidR="004F15A9">
        <w:rPr>
          <w:noProof/>
        </w:rPr>
        <w:t>14</w:t>
      </w:r>
      <w:r>
        <w:rPr>
          <w:noProof/>
        </w:rPr>
        <w:fldChar w:fldCharType="end"/>
      </w:r>
    </w:p>
    <w:p w14:paraId="04D50D01" w14:textId="68A5D31D" w:rsidR="00D50CE5" w:rsidRDefault="00D50CE5">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_Toc12567174 \h </w:instrText>
      </w:r>
      <w:r>
        <w:rPr>
          <w:noProof/>
        </w:rPr>
      </w:r>
      <w:r>
        <w:rPr>
          <w:noProof/>
        </w:rPr>
        <w:fldChar w:fldCharType="separate"/>
      </w:r>
      <w:r w:rsidR="004F15A9">
        <w:rPr>
          <w:noProof/>
        </w:rPr>
        <w:t>14</w:t>
      </w:r>
      <w:r>
        <w:rPr>
          <w:noProof/>
        </w:rPr>
        <w:fldChar w:fldCharType="end"/>
      </w:r>
    </w:p>
    <w:p w14:paraId="7C6091A3" w14:textId="059CDD10" w:rsidR="00D50CE5" w:rsidRDefault="00D50CE5">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_Toc12567175 \h </w:instrText>
      </w:r>
      <w:r>
        <w:rPr>
          <w:noProof/>
        </w:rPr>
      </w:r>
      <w:r>
        <w:rPr>
          <w:noProof/>
        </w:rPr>
        <w:fldChar w:fldCharType="separate"/>
      </w:r>
      <w:r w:rsidR="004F15A9">
        <w:rPr>
          <w:noProof/>
        </w:rPr>
        <w:t>15</w:t>
      </w:r>
      <w:r>
        <w:rPr>
          <w:noProof/>
        </w:rPr>
        <w:fldChar w:fldCharType="end"/>
      </w:r>
    </w:p>
    <w:p w14:paraId="1FC015D9" w14:textId="47D0403A" w:rsidR="00D50CE5" w:rsidRDefault="00D50CE5">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_Toc12567176 \h </w:instrText>
      </w:r>
      <w:r>
        <w:rPr>
          <w:noProof/>
        </w:rPr>
      </w:r>
      <w:r>
        <w:rPr>
          <w:noProof/>
        </w:rPr>
        <w:fldChar w:fldCharType="separate"/>
      </w:r>
      <w:r w:rsidR="004F15A9">
        <w:rPr>
          <w:noProof/>
        </w:rPr>
        <w:t>15</w:t>
      </w:r>
      <w:r>
        <w:rPr>
          <w:noProof/>
        </w:rPr>
        <w:fldChar w:fldCharType="end"/>
      </w:r>
    </w:p>
    <w:p w14:paraId="2712F495" w14:textId="06919AB3" w:rsidR="00D50CE5" w:rsidRDefault="00D50CE5">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_Toc12567177 \h </w:instrText>
      </w:r>
      <w:r>
        <w:rPr>
          <w:noProof/>
        </w:rPr>
      </w:r>
      <w:r>
        <w:rPr>
          <w:noProof/>
        </w:rPr>
        <w:fldChar w:fldCharType="separate"/>
      </w:r>
      <w:r w:rsidR="004F15A9">
        <w:rPr>
          <w:noProof/>
        </w:rPr>
        <w:t>15</w:t>
      </w:r>
      <w:r>
        <w:rPr>
          <w:noProof/>
        </w:rPr>
        <w:fldChar w:fldCharType="end"/>
      </w:r>
    </w:p>
    <w:p w14:paraId="1D3DCE4D" w14:textId="6346FFD4" w:rsidR="00D50CE5" w:rsidRDefault="00D50CE5">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_Toc12567178 \h </w:instrText>
      </w:r>
      <w:r>
        <w:rPr>
          <w:noProof/>
        </w:rPr>
      </w:r>
      <w:r>
        <w:rPr>
          <w:noProof/>
        </w:rPr>
        <w:fldChar w:fldCharType="separate"/>
      </w:r>
      <w:r w:rsidR="004F15A9">
        <w:rPr>
          <w:noProof/>
        </w:rPr>
        <w:t>16</w:t>
      </w:r>
      <w:r>
        <w:rPr>
          <w:noProof/>
        </w:rPr>
        <w:fldChar w:fldCharType="end"/>
      </w:r>
    </w:p>
    <w:p w14:paraId="4C194BAF" w14:textId="60CBCE82"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62F6AD06" w14:textId="77777777" w:rsidR="009103B6" w:rsidRDefault="00AF0162" w:rsidP="00462BB6">
      <w:pPr>
        <w:tabs>
          <w:tab w:val="left" w:pos="2988"/>
        </w:tabs>
        <w:spacing w:before="20" w:after="20" w:line="280" w:lineRule="exact"/>
        <w:ind w:left="18"/>
        <w:rPr>
          <w:rFonts w:eastAsiaTheme="majorEastAsia" w:cstheme="majorBidi"/>
          <w:caps/>
          <w:color w:val="CFAB7A"/>
          <w:w w:val="102"/>
          <w:sz w:val="24"/>
          <w:szCs w:val="30"/>
        </w:rPr>
      </w:pPr>
      <w:bookmarkStart w:id="1" w:name="_Toc486490839"/>
      <w:bookmarkStart w:id="2" w:name="_Toc486580912"/>
      <w:bookmarkStart w:id="3" w:name="_Toc12567157"/>
      <w:r w:rsidRPr="00AF0162">
        <w:rPr>
          <w:rStyle w:val="eTRMHeading3Char"/>
        </w:rPr>
        <w:lastRenderedPageBreak/>
        <w:t>Measure Name</w:t>
      </w:r>
      <w:bookmarkEnd w:id="1"/>
      <w:bookmarkEnd w:id="2"/>
      <w:bookmarkEnd w:id="3"/>
    </w:p>
    <w:p w14:paraId="47A96E41" w14:textId="3AE22585" w:rsidR="00AF0162" w:rsidRDefault="7FB13BFA" w:rsidP="00462BB6">
      <w:pPr>
        <w:tabs>
          <w:tab w:val="left" w:pos="2988"/>
        </w:tabs>
        <w:spacing w:before="20" w:after="20" w:line="280" w:lineRule="exact"/>
        <w:ind w:left="18"/>
      </w:pPr>
      <w:r>
        <w:t>Faucet Aerator and Flow Restriction Valves, Residential</w:t>
      </w:r>
    </w:p>
    <w:p w14:paraId="5FADD292" w14:textId="77777777" w:rsidR="009103B6" w:rsidRPr="00401C43" w:rsidRDefault="009103B6" w:rsidP="00462BB6">
      <w:pPr>
        <w:tabs>
          <w:tab w:val="left" w:pos="2988"/>
        </w:tabs>
        <w:spacing w:before="20" w:after="20" w:line="280" w:lineRule="exact"/>
        <w:ind w:left="18"/>
      </w:pPr>
    </w:p>
    <w:p w14:paraId="121BCD9C" w14:textId="77777777" w:rsidR="009103B6" w:rsidRDefault="00AF0162" w:rsidP="00462BB6">
      <w:pPr>
        <w:tabs>
          <w:tab w:val="left" w:pos="2988"/>
        </w:tabs>
        <w:spacing w:before="20" w:after="20" w:line="280" w:lineRule="exact"/>
        <w:ind w:left="18"/>
        <w:rPr>
          <w:rFonts w:eastAsiaTheme="majorEastAsia" w:cstheme="majorBidi"/>
          <w:caps/>
          <w:color w:val="CFAB7A"/>
          <w:w w:val="102"/>
          <w:sz w:val="24"/>
          <w:szCs w:val="30"/>
        </w:rPr>
      </w:pPr>
      <w:bookmarkStart w:id="4" w:name="_Toc486490840"/>
      <w:bookmarkStart w:id="5" w:name="_Toc486580913"/>
      <w:bookmarkStart w:id="6" w:name="_Toc12567158"/>
      <w:r w:rsidRPr="00AF0162">
        <w:rPr>
          <w:rStyle w:val="eTRMHeading3Char"/>
        </w:rPr>
        <w:t>Statewide Measure ID</w:t>
      </w:r>
      <w:bookmarkEnd w:id="4"/>
      <w:bookmarkEnd w:id="5"/>
      <w:bookmarkEnd w:id="6"/>
    </w:p>
    <w:p w14:paraId="0341F97F" w14:textId="0A9B2327" w:rsidR="00730540" w:rsidRPr="00730540" w:rsidRDefault="00730540" w:rsidP="00730540">
      <w:r w:rsidRPr="00BE6116">
        <w:t>SWWH001</w:t>
      </w:r>
      <w:r w:rsidR="00ED655D" w:rsidRPr="00BE6116">
        <w:t>-0</w:t>
      </w:r>
      <w:r w:rsidR="005619E8">
        <w:t>2</w:t>
      </w:r>
    </w:p>
    <w:p w14:paraId="02E2A186" w14:textId="77777777" w:rsidR="009103B6" w:rsidRPr="00462BB6" w:rsidRDefault="009103B6" w:rsidP="00BE6116"/>
    <w:p w14:paraId="0F7CA2E6" w14:textId="5C4DAA7D" w:rsidR="00E70CBD" w:rsidRPr="002C1A40" w:rsidRDefault="7FB13BFA" w:rsidP="00462BB6">
      <w:pPr>
        <w:pStyle w:val="eTRMHeading3"/>
      </w:pPr>
      <w:bookmarkStart w:id="7" w:name="_Toc12567159"/>
      <w:bookmarkStart w:id="8" w:name="_Toc486490847"/>
      <w:bookmarkStart w:id="9" w:name="_Toc486580918"/>
      <w:r w:rsidRPr="002C1A40">
        <w:t>Technology Summary</w:t>
      </w:r>
      <w:bookmarkEnd w:id="7"/>
      <w:r w:rsidRPr="002C1A40">
        <w:t xml:space="preserve"> </w:t>
      </w:r>
      <w:bookmarkEnd w:id="8"/>
      <w:bookmarkEnd w:id="9"/>
    </w:p>
    <w:p w14:paraId="1579D34C" w14:textId="4034A4A2" w:rsidR="00DB6E2E" w:rsidRPr="002C1A40" w:rsidRDefault="58445BA4" w:rsidP="7FB13BFA">
      <w:pPr>
        <w:rPr>
          <w:lang w:val="en"/>
        </w:rPr>
      </w:pPr>
      <w:bookmarkStart w:id="10" w:name="_Hlk11282373"/>
      <w:r w:rsidRPr="002C1A40">
        <w:t xml:space="preserve">This measure is defined as the installation of a low-flow faucet aerator or </w:t>
      </w:r>
      <w:r w:rsidR="007F12EE" w:rsidRPr="002C1A40">
        <w:t>f</w:t>
      </w:r>
      <w:r w:rsidRPr="002C1A40">
        <w:rPr>
          <w:rFonts w:eastAsia="Calibri Light" w:cs="Calibri Light"/>
          <w:szCs w:val="22"/>
        </w:rPr>
        <w:t xml:space="preserve">low </w:t>
      </w:r>
      <w:r w:rsidR="007F12EE" w:rsidRPr="002C1A40">
        <w:rPr>
          <w:rFonts w:eastAsia="Calibri Light" w:cs="Calibri Light"/>
          <w:szCs w:val="22"/>
        </w:rPr>
        <w:t>c</w:t>
      </w:r>
      <w:r w:rsidRPr="002C1A40">
        <w:rPr>
          <w:rFonts w:eastAsia="Calibri Light" w:cs="Calibri Light"/>
          <w:szCs w:val="22"/>
        </w:rPr>
        <w:t xml:space="preserve">ontrol </w:t>
      </w:r>
      <w:r w:rsidR="007F12EE" w:rsidRPr="002C1A40">
        <w:rPr>
          <w:rFonts w:eastAsia="Calibri Light" w:cs="Calibri Light"/>
          <w:szCs w:val="22"/>
        </w:rPr>
        <w:t>v</w:t>
      </w:r>
      <w:r w:rsidRPr="002C1A40">
        <w:rPr>
          <w:rFonts w:eastAsia="Calibri Light" w:cs="Calibri Light"/>
          <w:szCs w:val="22"/>
        </w:rPr>
        <w:t>alves</w:t>
      </w:r>
      <w:r w:rsidR="002C1A40">
        <w:rPr>
          <w:rFonts w:eastAsia="Calibri Light" w:cs="Calibri Light"/>
          <w:szCs w:val="22"/>
        </w:rPr>
        <w:t xml:space="preserve"> </w:t>
      </w:r>
      <w:r w:rsidRPr="002C1A40">
        <w:rPr>
          <w:rFonts w:eastAsia="Calibri Light" w:cs="Calibri Light"/>
          <w:szCs w:val="22"/>
        </w:rPr>
        <w:t>(FCV)</w:t>
      </w:r>
      <w:r w:rsidRPr="002C1A40">
        <w:t xml:space="preserve"> on </w:t>
      </w:r>
      <w:bookmarkEnd w:id="10"/>
      <w:r w:rsidRPr="002C1A40">
        <w:t xml:space="preserve">a residential lavatory or kitchen sink faucet. </w:t>
      </w:r>
      <w:r w:rsidRPr="002C1A40">
        <w:rPr>
          <w:lang w:val="en"/>
        </w:rPr>
        <w:t>T</w:t>
      </w:r>
    </w:p>
    <w:p w14:paraId="3AF6292D" w14:textId="77777777" w:rsidR="00DB6E2E" w:rsidRPr="002C1A40" w:rsidRDefault="00DB6E2E" w:rsidP="00DB6E2E">
      <w:r w:rsidRPr="002C1A40">
        <w:t>An aerator is an add-on device that is installed at the faucet outlet to reduce the flow rate of water. The aerator reduces the water exiting a faucet by mixing it with air; a screen is used to introduce air into the water stream, dividing a single stream of water into many tiny streams. Since there is less space for the water to flow through, the flow rate of the water exiting the faucet is reduced.</w:t>
      </w:r>
      <w:r w:rsidRPr="002C1A40">
        <w:rPr>
          <w:rStyle w:val="FootnoteReference"/>
        </w:rPr>
        <w:footnoteReference w:id="1"/>
      </w:r>
      <w:r w:rsidRPr="002C1A40">
        <w:t xml:space="preserve">  </w:t>
      </w:r>
    </w:p>
    <w:p w14:paraId="73F088CA" w14:textId="20E376F3" w:rsidR="00DB6E2E" w:rsidRPr="002C1A40" w:rsidRDefault="00DB6E2E" w:rsidP="7FB13BFA">
      <w:pPr>
        <w:rPr>
          <w:rFonts w:eastAsia="Calibri Light" w:cs="Calibri Light"/>
          <w:szCs w:val="22"/>
          <w:lang w:val="en"/>
        </w:rPr>
      </w:pPr>
      <w:bookmarkStart w:id="11" w:name="_Hlk11282437"/>
      <w:r w:rsidRPr="002C1A40">
        <w:t>A f</w:t>
      </w:r>
      <w:r w:rsidR="58445BA4" w:rsidRPr="002C1A40">
        <w:rPr>
          <w:rFonts w:eastAsia="Calibri Light" w:cs="Calibri Light"/>
          <w:szCs w:val="22"/>
          <w:lang w:val="en"/>
        </w:rPr>
        <w:t>low control valve</w:t>
      </w:r>
      <w:r w:rsidRPr="002C1A40">
        <w:rPr>
          <w:rFonts w:eastAsia="Calibri Light" w:cs="Calibri Light"/>
          <w:szCs w:val="22"/>
          <w:lang w:val="en"/>
        </w:rPr>
        <w:t xml:space="preserve"> (FCV)</w:t>
      </w:r>
      <w:r w:rsidR="58445BA4" w:rsidRPr="002C1A40">
        <w:rPr>
          <w:rFonts w:eastAsia="Calibri Light" w:cs="Calibri Light"/>
          <w:szCs w:val="22"/>
          <w:lang w:val="en"/>
        </w:rPr>
        <w:t xml:space="preserve"> act</w:t>
      </w:r>
      <w:r w:rsidRPr="002C1A40">
        <w:rPr>
          <w:rFonts w:eastAsia="Calibri Light" w:cs="Calibri Light"/>
          <w:szCs w:val="22"/>
          <w:lang w:val="en"/>
        </w:rPr>
        <w:t>s</w:t>
      </w:r>
      <w:r w:rsidR="58445BA4" w:rsidRPr="002C1A40">
        <w:rPr>
          <w:rFonts w:eastAsia="Calibri Light" w:cs="Calibri Light"/>
          <w:szCs w:val="22"/>
          <w:lang w:val="en"/>
        </w:rPr>
        <w:t xml:space="preserve"> as a converging-diverging section with a throat in which the flow area is reduced to impede full flow of incoming water while retaining pressure. Flow control valves for faucet water line inlets must be installed in pairs, one in the cold </w:t>
      </w:r>
      <w:r w:rsidR="00600998" w:rsidRPr="002C1A40">
        <w:rPr>
          <w:rFonts w:eastAsia="Calibri Light" w:cs="Calibri Light"/>
          <w:szCs w:val="22"/>
          <w:lang w:val="en"/>
        </w:rPr>
        <w:t xml:space="preserve">line </w:t>
      </w:r>
      <w:r w:rsidR="58445BA4" w:rsidRPr="002C1A40">
        <w:rPr>
          <w:rFonts w:eastAsia="Calibri Light" w:cs="Calibri Light"/>
          <w:szCs w:val="22"/>
          <w:lang w:val="en"/>
        </w:rPr>
        <w:t xml:space="preserve">and one in the hot line. </w:t>
      </w:r>
      <w:bookmarkEnd w:id="11"/>
    </w:p>
    <w:p w14:paraId="51F099FA" w14:textId="08E27D60" w:rsidR="00785623" w:rsidRPr="002C1A40" w:rsidRDefault="58445BA4" w:rsidP="7FB13BFA">
      <w:bookmarkStart w:id="12" w:name="_Hlk11282788"/>
      <w:r w:rsidRPr="002C1A40">
        <w:t xml:space="preserve">A faucet aerator or FCV is a </w:t>
      </w:r>
      <w:r w:rsidRPr="002C1A40">
        <w:rPr>
          <w:lang w:val="en"/>
        </w:rPr>
        <w:t>water-efficient fixture addition that helps residential customers reduce hot water use and save energy.</w:t>
      </w:r>
    </w:p>
    <w:bookmarkEnd w:id="12"/>
    <w:p w14:paraId="0E96B20B" w14:textId="77777777" w:rsidR="00BE4E8D" w:rsidRPr="002C1A40" w:rsidRDefault="00BE4E8D" w:rsidP="00AB6C99">
      <w:pPr>
        <w:rPr>
          <w:lang w:val="en"/>
        </w:rPr>
      </w:pPr>
    </w:p>
    <w:p w14:paraId="5AF18021" w14:textId="48A5C2CB" w:rsidR="007D230B" w:rsidRPr="002C1A40" w:rsidRDefault="007D230B" w:rsidP="00462BB6">
      <w:pPr>
        <w:pStyle w:val="eTRMHeading3"/>
      </w:pPr>
      <w:bookmarkStart w:id="13" w:name="_Toc486490848"/>
      <w:bookmarkStart w:id="14" w:name="_Toc486580919"/>
      <w:bookmarkStart w:id="15" w:name="_Toc12567160"/>
      <w:r w:rsidRPr="002C1A40">
        <w:t>Measure Case Description</w:t>
      </w:r>
      <w:bookmarkEnd w:id="13"/>
      <w:bookmarkEnd w:id="14"/>
      <w:bookmarkEnd w:id="15"/>
    </w:p>
    <w:p w14:paraId="353C2555" w14:textId="4AC4B987" w:rsidR="002671D7" w:rsidRDefault="7FB13BFA" w:rsidP="00EB744C">
      <w:bookmarkStart w:id="16" w:name="_Hlk11283127"/>
      <w:r w:rsidRPr="002C1A40">
        <w:rPr>
          <w:rFonts w:cs="Arial"/>
        </w:rPr>
        <w:t>The measure case is defined as a low-flow faucet aerator or FCV</w:t>
      </w:r>
      <w:r w:rsidR="006D496A" w:rsidRPr="002C1A40">
        <w:rPr>
          <w:rFonts w:cs="Arial"/>
        </w:rPr>
        <w:t>s</w:t>
      </w:r>
      <w:r w:rsidRPr="002C1A40">
        <w:rPr>
          <w:rFonts w:cs="Arial"/>
        </w:rPr>
        <w:t xml:space="preserve"> installed</w:t>
      </w:r>
      <w:bookmarkEnd w:id="16"/>
      <w:r w:rsidRPr="002C1A40">
        <w:rPr>
          <w:rFonts w:cs="Arial"/>
        </w:rPr>
        <w:t xml:space="preserve"> on a lavatory or kitchen faucet in a residential building. The measure offerings, shown below, are based upon flow rate (gallons per minute, </w:t>
      </w:r>
      <w:proofErr w:type="spellStart"/>
      <w:r w:rsidRPr="002C1A40">
        <w:rPr>
          <w:rFonts w:cs="Arial"/>
        </w:rPr>
        <w:t>gpm</w:t>
      </w:r>
      <w:proofErr w:type="spellEnd"/>
      <w:r w:rsidRPr="002C1A40">
        <w:rPr>
          <w:rFonts w:cs="Arial"/>
        </w:rPr>
        <w:t>). Savings are calculated for water heating fuel type, faucet type, flow rate, and building type (single family, multifamily, and double-wide mobile home), and for each California climate zone.</w:t>
      </w:r>
      <w:bookmarkStart w:id="17" w:name="_Ref511023053"/>
      <w:r w:rsidR="006D496A" w:rsidRPr="002C1A40">
        <w:rPr>
          <w:rFonts w:cs="Arial"/>
        </w:rPr>
        <w:t xml:space="preserve"> </w:t>
      </w:r>
      <w:bookmarkStart w:id="18" w:name="_Hlk11284803"/>
      <w:r w:rsidR="00CC4457" w:rsidRPr="002C1A40">
        <w:rPr>
          <w:rFonts w:cs="Arial"/>
        </w:rPr>
        <w:t>For FCV measures, the flow rate indicates the combined flow of cold and hot inlet lines.</w:t>
      </w:r>
      <w:bookmarkEnd w:id="18"/>
      <w:r w:rsidR="00CC4457">
        <w:rPr>
          <w:rFonts w:cs="Arial"/>
        </w:rPr>
        <w:t xml:space="preserve"> </w:t>
      </w:r>
    </w:p>
    <w:bookmarkEnd w:id="17"/>
    <w:p w14:paraId="45547BB3" w14:textId="0BA81038" w:rsidR="00EB744C" w:rsidRDefault="00EB744C" w:rsidP="005E4082">
      <w:pPr>
        <w:pStyle w:val="Caption"/>
      </w:pPr>
      <w:r>
        <w:t>Measure Case Specification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2155"/>
        <w:gridCol w:w="1620"/>
        <w:gridCol w:w="1620"/>
      </w:tblGrid>
      <w:tr w:rsidR="00D03583" w:rsidRPr="00EB744C" w14:paraId="2444DB1F" w14:textId="21666412" w:rsidTr="00D50CE5">
        <w:trPr>
          <w:tblHeader/>
        </w:trPr>
        <w:tc>
          <w:tcPr>
            <w:tcW w:w="21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346FB62" w14:textId="78E055F7" w:rsidR="00D03583" w:rsidRDefault="00D03583" w:rsidP="0050308E">
            <w:pPr>
              <w:spacing w:before="0" w:after="0"/>
              <w:rPr>
                <w:b/>
                <w:sz w:val="20"/>
              </w:rPr>
            </w:pPr>
            <w:r>
              <w:rPr>
                <w:b/>
                <w:sz w:val="20"/>
              </w:rPr>
              <w:t>DHW Fuel Type</w:t>
            </w:r>
          </w:p>
        </w:tc>
        <w:tc>
          <w:tcPr>
            <w:tcW w:w="21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AAC7168" w14:textId="098E8B86" w:rsidR="00D03583" w:rsidRPr="00EB744C" w:rsidRDefault="00D03583" w:rsidP="00EB744C">
            <w:pPr>
              <w:spacing w:before="0" w:after="0"/>
              <w:rPr>
                <w:b/>
                <w:sz w:val="20"/>
              </w:rPr>
            </w:pPr>
            <w:r>
              <w:rPr>
                <w:b/>
                <w:sz w:val="20"/>
              </w:rPr>
              <w:t>Faucet Type</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487AEAC" w14:textId="031791AD" w:rsidR="00D03583" w:rsidRPr="00EB744C" w:rsidRDefault="00D03583" w:rsidP="00C35BE9">
            <w:pPr>
              <w:spacing w:before="0" w:after="0"/>
              <w:jc w:val="center"/>
              <w:rPr>
                <w:b/>
                <w:sz w:val="20"/>
              </w:rPr>
            </w:pPr>
            <w:r>
              <w:rPr>
                <w:b/>
                <w:sz w:val="20"/>
              </w:rPr>
              <w:t>Single Family</w:t>
            </w:r>
            <w:r>
              <w:rPr>
                <w:b/>
                <w:sz w:val="20"/>
              </w:rPr>
              <w:br/>
            </w:r>
            <w:r w:rsidRPr="00EB744C">
              <w:rPr>
                <w:b/>
                <w:sz w:val="20"/>
              </w:rPr>
              <w:t xml:space="preserve">Flow Rate </w:t>
            </w:r>
            <w:r>
              <w:rPr>
                <w:b/>
                <w:sz w:val="20"/>
              </w:rPr>
              <w:br/>
            </w:r>
            <w:r w:rsidRPr="00EB744C">
              <w:rPr>
                <w:b/>
                <w:sz w:val="20"/>
              </w:rPr>
              <w:t>(</w:t>
            </w:r>
            <w:proofErr w:type="spellStart"/>
            <w:r w:rsidRPr="00EB744C">
              <w:rPr>
                <w:b/>
                <w:sz w:val="20"/>
              </w:rPr>
              <w:t>gpm</w:t>
            </w:r>
            <w:proofErr w:type="spellEnd"/>
            <w:r w:rsidRPr="00EB744C">
              <w:rPr>
                <w:b/>
                <w:sz w:val="20"/>
              </w:rPr>
              <w:t>)</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68FD0" w14:textId="7A544765" w:rsidR="00D03583" w:rsidRPr="00EB744C" w:rsidRDefault="00D03583" w:rsidP="00EB744C">
            <w:pPr>
              <w:spacing w:before="0" w:after="0"/>
              <w:jc w:val="center"/>
              <w:rPr>
                <w:b/>
                <w:sz w:val="20"/>
              </w:rPr>
            </w:pPr>
            <w:r>
              <w:rPr>
                <w:b/>
                <w:sz w:val="20"/>
              </w:rPr>
              <w:t>Multifamily or Mobile Home</w:t>
            </w:r>
            <w:r>
              <w:rPr>
                <w:b/>
                <w:sz w:val="20"/>
              </w:rPr>
              <w:br/>
              <w:t>Flow Rate</w:t>
            </w:r>
            <w:r>
              <w:rPr>
                <w:b/>
                <w:sz w:val="20"/>
              </w:rPr>
              <w:br/>
              <w:t>(</w:t>
            </w:r>
            <w:proofErr w:type="spellStart"/>
            <w:r>
              <w:rPr>
                <w:b/>
                <w:sz w:val="20"/>
              </w:rPr>
              <w:t>gpm</w:t>
            </w:r>
            <w:proofErr w:type="spellEnd"/>
            <w:r>
              <w:rPr>
                <w:b/>
                <w:sz w:val="20"/>
              </w:rPr>
              <w:t>)</w:t>
            </w:r>
          </w:p>
        </w:tc>
      </w:tr>
      <w:tr w:rsidR="00D03583" w:rsidRPr="00EB744C" w14:paraId="10543D2D" w14:textId="2855025B" w:rsidTr="00DF2680">
        <w:tc>
          <w:tcPr>
            <w:tcW w:w="2155" w:type="dxa"/>
            <w:vMerge w:val="restart"/>
            <w:tcBorders>
              <w:top w:val="single" w:sz="4" w:space="0" w:color="auto"/>
              <w:left w:val="single" w:sz="4" w:space="0" w:color="auto"/>
              <w:bottom w:val="single" w:sz="4" w:space="0" w:color="auto"/>
              <w:right w:val="single" w:sz="4" w:space="0" w:color="auto"/>
            </w:tcBorders>
            <w:vAlign w:val="center"/>
          </w:tcPr>
          <w:p w14:paraId="1BA0C027" w14:textId="02EDE235" w:rsidR="00D03583" w:rsidRDefault="00D03583" w:rsidP="00180964">
            <w:pPr>
              <w:spacing w:before="0" w:after="0"/>
              <w:rPr>
                <w:sz w:val="20"/>
              </w:rPr>
            </w:pPr>
            <w:r>
              <w:rPr>
                <w:sz w:val="20"/>
              </w:rPr>
              <w:t>Gas</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16A6331F" w14:textId="6526C6AD" w:rsidR="00D03583" w:rsidRPr="00EB744C" w:rsidRDefault="00D03583" w:rsidP="00180964">
            <w:pPr>
              <w:spacing w:before="0" w:after="0"/>
              <w:rPr>
                <w:sz w:val="20"/>
              </w:rPr>
            </w:pPr>
            <w:r>
              <w:rPr>
                <w:sz w:val="20"/>
              </w:rPr>
              <w:t>Lavatory</w:t>
            </w:r>
            <w:r w:rsidRPr="00EB744C">
              <w:rPr>
                <w:sz w:val="20"/>
              </w:rPr>
              <w:t xml:space="preserve"> Sink</w:t>
            </w:r>
          </w:p>
        </w:tc>
        <w:tc>
          <w:tcPr>
            <w:tcW w:w="1620" w:type="dxa"/>
            <w:tcBorders>
              <w:top w:val="single" w:sz="4" w:space="0" w:color="auto"/>
              <w:left w:val="single" w:sz="4" w:space="0" w:color="auto"/>
              <w:bottom w:val="single" w:sz="4" w:space="0" w:color="auto"/>
              <w:right w:val="single" w:sz="4" w:space="0" w:color="auto"/>
            </w:tcBorders>
            <w:vAlign w:val="center"/>
          </w:tcPr>
          <w:p w14:paraId="0103F82B" w14:textId="5590D89F" w:rsidR="00D03583" w:rsidRPr="00EB744C" w:rsidRDefault="00D03583" w:rsidP="00180964">
            <w:pPr>
              <w:spacing w:before="0" w:after="0"/>
              <w:ind w:right="513"/>
              <w:jc w:val="right"/>
              <w:rPr>
                <w:sz w:val="20"/>
              </w:rPr>
            </w:pPr>
            <w:r w:rsidRPr="00EB744C">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14:paraId="356F837B" w14:textId="7CD41FEB" w:rsidR="00D03583" w:rsidRPr="00EB744C" w:rsidRDefault="00D03583" w:rsidP="00180964">
            <w:pPr>
              <w:spacing w:before="0" w:after="0"/>
              <w:ind w:right="513"/>
              <w:jc w:val="right"/>
              <w:rPr>
                <w:sz w:val="20"/>
              </w:rPr>
            </w:pPr>
            <w:r w:rsidRPr="00EB744C">
              <w:rPr>
                <w:sz w:val="20"/>
              </w:rPr>
              <w:t>0.5</w:t>
            </w:r>
          </w:p>
        </w:tc>
      </w:tr>
      <w:tr w:rsidR="00D03583" w:rsidRPr="00EB744C" w14:paraId="072894BC" w14:textId="4C04B785" w:rsidTr="00DF2680">
        <w:tc>
          <w:tcPr>
            <w:tcW w:w="2155" w:type="dxa"/>
            <w:vMerge/>
            <w:tcBorders>
              <w:top w:val="single" w:sz="4" w:space="0" w:color="auto"/>
              <w:left w:val="single" w:sz="4" w:space="0" w:color="auto"/>
              <w:bottom w:val="single" w:sz="4" w:space="0" w:color="auto"/>
              <w:right w:val="single" w:sz="4" w:space="0" w:color="auto"/>
            </w:tcBorders>
            <w:vAlign w:val="center"/>
          </w:tcPr>
          <w:p w14:paraId="53CDA455" w14:textId="77777777" w:rsidR="00D03583" w:rsidRPr="00EB744C" w:rsidRDefault="00D03583" w:rsidP="00180964">
            <w:pPr>
              <w:spacing w:before="0" w:after="0"/>
              <w:rPr>
                <w:sz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5A016FE5" w14:textId="00F861D4" w:rsidR="00D03583" w:rsidRPr="00EB744C" w:rsidRDefault="00D03583" w:rsidP="00180964">
            <w:pPr>
              <w:spacing w:before="0" w:after="0"/>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42E8172" w14:textId="30D328AD" w:rsidR="00D03583" w:rsidRPr="00EB744C" w:rsidRDefault="00D03583" w:rsidP="00180964">
            <w:pPr>
              <w:spacing w:before="0" w:after="0"/>
              <w:ind w:right="513"/>
              <w:jc w:val="right"/>
              <w:rPr>
                <w:sz w:val="20"/>
              </w:rPr>
            </w:pPr>
            <w:r w:rsidRPr="00EB744C">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14:paraId="1F648A00" w14:textId="70D9758D" w:rsidR="00D03583" w:rsidRPr="00EB744C" w:rsidRDefault="00D03583" w:rsidP="00180964">
            <w:pPr>
              <w:spacing w:before="0" w:after="0"/>
              <w:ind w:right="513"/>
              <w:jc w:val="right"/>
              <w:rPr>
                <w:sz w:val="20"/>
              </w:rPr>
            </w:pPr>
            <w:r w:rsidRPr="00EB744C">
              <w:rPr>
                <w:sz w:val="20"/>
              </w:rPr>
              <w:t>1.0</w:t>
            </w:r>
          </w:p>
        </w:tc>
      </w:tr>
      <w:tr w:rsidR="00D03583" w:rsidRPr="00EB744C" w14:paraId="73E1D256" w14:textId="0A7C848C" w:rsidTr="00DF2680">
        <w:tc>
          <w:tcPr>
            <w:tcW w:w="2155" w:type="dxa"/>
            <w:vMerge/>
            <w:tcBorders>
              <w:top w:val="single" w:sz="4" w:space="0" w:color="auto"/>
              <w:left w:val="single" w:sz="4" w:space="0" w:color="auto"/>
              <w:bottom w:val="single" w:sz="4" w:space="0" w:color="auto"/>
              <w:right w:val="single" w:sz="4" w:space="0" w:color="auto"/>
            </w:tcBorders>
            <w:vAlign w:val="center"/>
          </w:tcPr>
          <w:p w14:paraId="3B5B654E" w14:textId="77777777" w:rsidR="00D03583" w:rsidRPr="00EB744C" w:rsidRDefault="00D03583" w:rsidP="00180964">
            <w:pPr>
              <w:spacing w:before="0" w:after="0"/>
              <w:rPr>
                <w:sz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0B5767EE" w14:textId="13263211" w:rsidR="00D03583" w:rsidRPr="00EB744C" w:rsidRDefault="00D03583" w:rsidP="00180964">
            <w:pPr>
              <w:spacing w:before="0" w:after="0"/>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33ADA9F" w14:textId="2FCC3151" w:rsidR="00D03583" w:rsidRPr="00EB744C" w:rsidRDefault="00D03583" w:rsidP="00180964">
            <w:pPr>
              <w:spacing w:before="0" w:after="0"/>
              <w:ind w:right="513"/>
              <w:jc w:val="right"/>
              <w:rPr>
                <w:sz w:val="20"/>
              </w:rPr>
            </w:pPr>
            <w:r w:rsidRPr="00EB744C">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14:paraId="2A25B835" w14:textId="617F93BD" w:rsidR="00D03583" w:rsidRPr="00EB744C" w:rsidRDefault="00D03583" w:rsidP="00180964">
            <w:pPr>
              <w:spacing w:before="0" w:after="0"/>
              <w:ind w:right="513"/>
              <w:jc w:val="right"/>
              <w:rPr>
                <w:sz w:val="20"/>
              </w:rPr>
            </w:pPr>
            <w:r w:rsidRPr="00EB744C">
              <w:rPr>
                <w:sz w:val="20"/>
              </w:rPr>
              <w:t>1.2</w:t>
            </w:r>
          </w:p>
        </w:tc>
      </w:tr>
      <w:tr w:rsidR="00D03583" w:rsidRPr="00EB744C" w14:paraId="26045301" w14:textId="1C8C8177" w:rsidTr="00DF2680">
        <w:tc>
          <w:tcPr>
            <w:tcW w:w="2155" w:type="dxa"/>
            <w:vMerge/>
            <w:tcBorders>
              <w:top w:val="single" w:sz="4" w:space="0" w:color="auto"/>
              <w:left w:val="single" w:sz="4" w:space="0" w:color="auto"/>
              <w:bottom w:val="single" w:sz="4" w:space="0" w:color="auto"/>
              <w:right w:val="single" w:sz="4" w:space="0" w:color="auto"/>
            </w:tcBorders>
            <w:vAlign w:val="center"/>
          </w:tcPr>
          <w:p w14:paraId="083FCE57" w14:textId="77777777" w:rsidR="00D03583" w:rsidRPr="00EB744C" w:rsidRDefault="00D03583" w:rsidP="00180964">
            <w:pPr>
              <w:spacing w:before="0" w:after="0"/>
              <w:rPr>
                <w:sz w:val="20"/>
              </w:rPr>
            </w:pPr>
          </w:p>
        </w:tc>
        <w:tc>
          <w:tcPr>
            <w:tcW w:w="2155" w:type="dxa"/>
            <w:tcBorders>
              <w:top w:val="single" w:sz="4" w:space="0" w:color="auto"/>
              <w:left w:val="single" w:sz="4" w:space="0" w:color="auto"/>
              <w:bottom w:val="single" w:sz="4" w:space="0" w:color="auto"/>
              <w:right w:val="single" w:sz="4" w:space="0" w:color="auto"/>
            </w:tcBorders>
            <w:vAlign w:val="center"/>
          </w:tcPr>
          <w:p w14:paraId="2B789838" w14:textId="3C4A44D7" w:rsidR="00D03583" w:rsidRPr="00EB744C" w:rsidRDefault="00D03583" w:rsidP="00180964">
            <w:pPr>
              <w:spacing w:before="0" w:after="0"/>
              <w:rPr>
                <w:sz w:val="20"/>
              </w:rPr>
            </w:pPr>
            <w:r w:rsidRPr="00EB744C">
              <w:rPr>
                <w:sz w:val="20"/>
              </w:rPr>
              <w:t>Kitchen Sink</w:t>
            </w:r>
          </w:p>
        </w:tc>
        <w:tc>
          <w:tcPr>
            <w:tcW w:w="1620" w:type="dxa"/>
            <w:tcBorders>
              <w:top w:val="single" w:sz="4" w:space="0" w:color="auto"/>
              <w:left w:val="single" w:sz="4" w:space="0" w:color="auto"/>
              <w:bottom w:val="single" w:sz="4" w:space="0" w:color="auto"/>
              <w:right w:val="single" w:sz="4" w:space="0" w:color="auto"/>
            </w:tcBorders>
            <w:vAlign w:val="center"/>
          </w:tcPr>
          <w:p w14:paraId="4C745597" w14:textId="478CBA4E" w:rsidR="00D03583" w:rsidRPr="00EB744C" w:rsidRDefault="00D03583" w:rsidP="00180964">
            <w:pPr>
              <w:spacing w:before="0" w:after="0"/>
              <w:ind w:right="513"/>
              <w:jc w:val="right"/>
              <w:rPr>
                <w:sz w:val="20"/>
              </w:rPr>
            </w:pPr>
            <w:r w:rsidRPr="00EB744C">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14:paraId="3AFFDD66" w14:textId="76539AB0" w:rsidR="00D03583" w:rsidRPr="00EB744C" w:rsidRDefault="00D03583" w:rsidP="00180964">
            <w:pPr>
              <w:spacing w:before="0" w:after="0"/>
              <w:ind w:right="513"/>
              <w:jc w:val="right"/>
              <w:rPr>
                <w:sz w:val="20"/>
              </w:rPr>
            </w:pPr>
            <w:r w:rsidRPr="00EB744C">
              <w:rPr>
                <w:sz w:val="20"/>
              </w:rPr>
              <w:t>1.5</w:t>
            </w:r>
          </w:p>
        </w:tc>
      </w:tr>
      <w:tr w:rsidR="00D03583" w:rsidRPr="00EB744C" w14:paraId="2611E097" w14:textId="66AF2C5E" w:rsidTr="00D50C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155" w:type="dxa"/>
            <w:vMerge w:val="restart"/>
            <w:tcBorders>
              <w:top w:val="single" w:sz="4" w:space="0" w:color="auto"/>
              <w:left w:val="single" w:sz="4" w:space="0" w:color="auto"/>
              <w:bottom w:val="single" w:sz="4" w:space="0" w:color="auto"/>
              <w:right w:val="single" w:sz="4" w:space="0" w:color="auto"/>
            </w:tcBorders>
            <w:vAlign w:val="center"/>
          </w:tcPr>
          <w:p w14:paraId="6B232139" w14:textId="24315FF7" w:rsidR="00D03583" w:rsidRDefault="00D03583" w:rsidP="00D50CE5">
            <w:pPr>
              <w:keepNext/>
              <w:keepLines/>
              <w:spacing w:before="0" w:after="0"/>
              <w:rPr>
                <w:sz w:val="20"/>
              </w:rPr>
            </w:pPr>
            <w:r>
              <w:rPr>
                <w:sz w:val="20"/>
              </w:rPr>
              <w:lastRenderedPageBreak/>
              <w:t>Electric</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DBE7E18" w14:textId="77777777" w:rsidR="00D03583" w:rsidRPr="00EB744C" w:rsidRDefault="00D03583" w:rsidP="00D50CE5">
            <w:pPr>
              <w:keepNext/>
              <w:keepLines/>
              <w:spacing w:before="0" w:after="0"/>
              <w:rPr>
                <w:sz w:val="20"/>
              </w:rPr>
            </w:pPr>
            <w:r>
              <w:rPr>
                <w:sz w:val="20"/>
              </w:rPr>
              <w:t>Lavatory</w:t>
            </w:r>
            <w:r w:rsidRPr="00EB744C">
              <w:rPr>
                <w:sz w:val="20"/>
              </w:rPr>
              <w:t xml:space="preserve"> Sink</w:t>
            </w:r>
          </w:p>
        </w:tc>
        <w:tc>
          <w:tcPr>
            <w:tcW w:w="1620" w:type="dxa"/>
            <w:tcBorders>
              <w:top w:val="single" w:sz="4" w:space="0" w:color="auto"/>
              <w:left w:val="single" w:sz="4" w:space="0" w:color="auto"/>
              <w:bottom w:val="single" w:sz="4" w:space="0" w:color="auto"/>
              <w:right w:val="single" w:sz="4" w:space="0" w:color="auto"/>
            </w:tcBorders>
          </w:tcPr>
          <w:p w14:paraId="4FF83842" w14:textId="77777777" w:rsidR="00D03583" w:rsidRPr="00EB744C" w:rsidRDefault="00D03583" w:rsidP="00D50CE5">
            <w:pPr>
              <w:keepNext/>
              <w:keepLines/>
              <w:spacing w:before="0" w:after="0"/>
              <w:ind w:right="513"/>
              <w:jc w:val="right"/>
              <w:rPr>
                <w:sz w:val="20"/>
              </w:rPr>
            </w:pPr>
            <w:r w:rsidRPr="00EB744C">
              <w:rPr>
                <w:sz w:val="20"/>
              </w:rPr>
              <w:t>0.5</w:t>
            </w:r>
          </w:p>
        </w:tc>
        <w:tc>
          <w:tcPr>
            <w:tcW w:w="1620" w:type="dxa"/>
            <w:tcBorders>
              <w:top w:val="single" w:sz="4" w:space="0" w:color="auto"/>
              <w:left w:val="single" w:sz="4" w:space="0" w:color="auto"/>
              <w:bottom w:val="single" w:sz="4" w:space="0" w:color="auto"/>
              <w:right w:val="single" w:sz="4" w:space="0" w:color="auto"/>
            </w:tcBorders>
          </w:tcPr>
          <w:p w14:paraId="00931824" w14:textId="77777777" w:rsidR="00D03583" w:rsidRPr="00EB744C" w:rsidRDefault="00D03583" w:rsidP="00D50CE5">
            <w:pPr>
              <w:keepNext/>
              <w:keepLines/>
              <w:spacing w:before="0" w:after="0"/>
              <w:ind w:right="513"/>
              <w:jc w:val="right"/>
              <w:rPr>
                <w:sz w:val="20"/>
              </w:rPr>
            </w:pPr>
            <w:r w:rsidRPr="00EB744C">
              <w:rPr>
                <w:sz w:val="20"/>
              </w:rPr>
              <w:t>0.5</w:t>
            </w:r>
          </w:p>
        </w:tc>
      </w:tr>
      <w:tr w:rsidR="00D03583" w:rsidRPr="00EB744C" w14:paraId="3F45C581" w14:textId="3AF994E4" w:rsidTr="00D50C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155" w:type="dxa"/>
            <w:vMerge/>
            <w:vAlign w:val="center"/>
          </w:tcPr>
          <w:p w14:paraId="16E1CD96" w14:textId="77777777" w:rsidR="00D03583" w:rsidRPr="00EB744C" w:rsidRDefault="00D03583" w:rsidP="00D50CE5">
            <w:pPr>
              <w:keepNext/>
              <w:keepLines/>
              <w:spacing w:before="0" w:after="0"/>
              <w:rPr>
                <w:sz w:val="20"/>
              </w:rPr>
            </w:pPr>
          </w:p>
        </w:tc>
        <w:tc>
          <w:tcPr>
            <w:tcW w:w="2155" w:type="dxa"/>
            <w:vMerge/>
            <w:tcBorders>
              <w:top w:val="single" w:sz="4" w:space="0" w:color="auto"/>
              <w:bottom w:val="single" w:sz="4" w:space="0" w:color="auto"/>
              <w:right w:val="single" w:sz="4" w:space="0" w:color="auto"/>
            </w:tcBorders>
            <w:vAlign w:val="center"/>
          </w:tcPr>
          <w:p w14:paraId="6F98B278" w14:textId="77777777" w:rsidR="00D03583" w:rsidRPr="00EB744C" w:rsidRDefault="00D03583" w:rsidP="00D50CE5">
            <w:pPr>
              <w:keepNext/>
              <w:keepLines/>
              <w:spacing w:before="0" w:after="0"/>
              <w:rPr>
                <w:sz w:val="20"/>
              </w:rPr>
            </w:pPr>
          </w:p>
        </w:tc>
        <w:tc>
          <w:tcPr>
            <w:tcW w:w="1620" w:type="dxa"/>
            <w:tcBorders>
              <w:top w:val="single" w:sz="4" w:space="0" w:color="auto"/>
              <w:left w:val="single" w:sz="4" w:space="0" w:color="auto"/>
              <w:bottom w:val="single" w:sz="4" w:space="0" w:color="auto"/>
              <w:right w:val="single" w:sz="4" w:space="0" w:color="auto"/>
            </w:tcBorders>
          </w:tcPr>
          <w:p w14:paraId="500385EA" w14:textId="77777777" w:rsidR="00D03583" w:rsidRPr="00EB744C" w:rsidRDefault="00D03583" w:rsidP="00D50CE5">
            <w:pPr>
              <w:keepNext/>
              <w:keepLines/>
              <w:spacing w:before="0" w:after="0"/>
              <w:ind w:right="513"/>
              <w:jc w:val="right"/>
              <w:rPr>
                <w:sz w:val="20"/>
              </w:rPr>
            </w:pPr>
            <w:r w:rsidRPr="00EB744C">
              <w:rPr>
                <w:sz w:val="20"/>
              </w:rPr>
              <w:t>1.0</w:t>
            </w:r>
          </w:p>
        </w:tc>
        <w:tc>
          <w:tcPr>
            <w:tcW w:w="1620" w:type="dxa"/>
            <w:tcBorders>
              <w:top w:val="single" w:sz="4" w:space="0" w:color="auto"/>
              <w:left w:val="single" w:sz="4" w:space="0" w:color="auto"/>
              <w:bottom w:val="single" w:sz="4" w:space="0" w:color="auto"/>
              <w:right w:val="single" w:sz="4" w:space="0" w:color="auto"/>
            </w:tcBorders>
          </w:tcPr>
          <w:p w14:paraId="32353BD9" w14:textId="77777777" w:rsidR="00D03583" w:rsidRPr="00EB744C" w:rsidRDefault="00D03583" w:rsidP="00D50CE5">
            <w:pPr>
              <w:keepNext/>
              <w:keepLines/>
              <w:spacing w:before="0" w:after="0"/>
              <w:ind w:right="513"/>
              <w:jc w:val="right"/>
              <w:rPr>
                <w:sz w:val="20"/>
              </w:rPr>
            </w:pPr>
            <w:r w:rsidRPr="00EB744C">
              <w:rPr>
                <w:sz w:val="20"/>
              </w:rPr>
              <w:t>1.0</w:t>
            </w:r>
          </w:p>
        </w:tc>
      </w:tr>
      <w:tr w:rsidR="00D03583" w:rsidRPr="00EB744C" w14:paraId="57633070" w14:textId="738D4876" w:rsidTr="00D50C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155" w:type="dxa"/>
            <w:vMerge/>
            <w:vAlign w:val="center"/>
          </w:tcPr>
          <w:p w14:paraId="72B6BF40" w14:textId="77777777" w:rsidR="00D03583" w:rsidRPr="00EB744C" w:rsidRDefault="00D03583" w:rsidP="00D50CE5">
            <w:pPr>
              <w:keepNext/>
              <w:keepLines/>
              <w:spacing w:before="0" w:after="0"/>
              <w:rPr>
                <w:sz w:val="20"/>
              </w:rPr>
            </w:pPr>
          </w:p>
        </w:tc>
        <w:tc>
          <w:tcPr>
            <w:tcW w:w="2155" w:type="dxa"/>
            <w:vMerge/>
            <w:tcBorders>
              <w:top w:val="single" w:sz="4" w:space="0" w:color="auto"/>
              <w:bottom w:val="single" w:sz="4" w:space="0" w:color="auto"/>
              <w:right w:val="single" w:sz="4" w:space="0" w:color="auto"/>
            </w:tcBorders>
            <w:vAlign w:val="center"/>
          </w:tcPr>
          <w:p w14:paraId="67D3EED6" w14:textId="77777777" w:rsidR="00D03583" w:rsidRPr="00EB744C" w:rsidRDefault="00D03583" w:rsidP="00D50CE5">
            <w:pPr>
              <w:keepNext/>
              <w:keepLines/>
              <w:spacing w:before="0" w:after="0"/>
              <w:rPr>
                <w:sz w:val="20"/>
              </w:rPr>
            </w:pPr>
          </w:p>
        </w:tc>
        <w:tc>
          <w:tcPr>
            <w:tcW w:w="1620" w:type="dxa"/>
            <w:tcBorders>
              <w:top w:val="single" w:sz="4" w:space="0" w:color="auto"/>
              <w:left w:val="single" w:sz="4" w:space="0" w:color="auto"/>
              <w:bottom w:val="single" w:sz="4" w:space="0" w:color="auto"/>
              <w:right w:val="single" w:sz="4" w:space="0" w:color="auto"/>
            </w:tcBorders>
          </w:tcPr>
          <w:p w14:paraId="487E79DC" w14:textId="77777777" w:rsidR="00D03583" w:rsidRPr="00EB744C" w:rsidRDefault="00D03583" w:rsidP="00D50CE5">
            <w:pPr>
              <w:keepNext/>
              <w:keepLines/>
              <w:spacing w:before="0" w:after="0"/>
              <w:ind w:right="513"/>
              <w:jc w:val="right"/>
              <w:rPr>
                <w:sz w:val="20"/>
              </w:rPr>
            </w:pPr>
            <w:r w:rsidRPr="00EB744C">
              <w:rPr>
                <w:sz w:val="20"/>
              </w:rPr>
              <w:t>1.2</w:t>
            </w:r>
          </w:p>
        </w:tc>
        <w:tc>
          <w:tcPr>
            <w:tcW w:w="1620" w:type="dxa"/>
            <w:tcBorders>
              <w:top w:val="single" w:sz="4" w:space="0" w:color="auto"/>
              <w:left w:val="single" w:sz="4" w:space="0" w:color="auto"/>
              <w:bottom w:val="single" w:sz="4" w:space="0" w:color="auto"/>
              <w:right w:val="single" w:sz="4" w:space="0" w:color="auto"/>
            </w:tcBorders>
          </w:tcPr>
          <w:p w14:paraId="3715B8E6" w14:textId="77777777" w:rsidR="00D03583" w:rsidRPr="00EB744C" w:rsidRDefault="00D03583" w:rsidP="00D50CE5">
            <w:pPr>
              <w:keepNext/>
              <w:keepLines/>
              <w:spacing w:before="0" w:after="0"/>
              <w:ind w:right="513"/>
              <w:jc w:val="right"/>
              <w:rPr>
                <w:sz w:val="20"/>
              </w:rPr>
            </w:pPr>
            <w:r w:rsidRPr="00EB744C">
              <w:rPr>
                <w:sz w:val="20"/>
              </w:rPr>
              <w:t>1.2</w:t>
            </w:r>
          </w:p>
        </w:tc>
      </w:tr>
      <w:tr w:rsidR="00D03583" w:rsidRPr="00EB744C" w14:paraId="73C21036" w14:textId="40EEBA30" w:rsidTr="00D50C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2155" w:type="dxa"/>
            <w:vMerge/>
            <w:vAlign w:val="center"/>
          </w:tcPr>
          <w:p w14:paraId="13460D36" w14:textId="77777777" w:rsidR="00D03583" w:rsidRPr="00EB744C" w:rsidRDefault="00D03583" w:rsidP="00D50CE5">
            <w:pPr>
              <w:keepNext/>
              <w:keepLines/>
              <w:spacing w:before="0" w:after="0"/>
              <w:rPr>
                <w:sz w:val="20"/>
              </w:rPr>
            </w:pPr>
          </w:p>
        </w:tc>
        <w:tc>
          <w:tcPr>
            <w:tcW w:w="2155" w:type="dxa"/>
            <w:tcBorders>
              <w:top w:val="single" w:sz="4" w:space="0" w:color="auto"/>
              <w:left w:val="single" w:sz="4" w:space="0" w:color="A6A6A6" w:themeColor="background1" w:themeShade="A6"/>
              <w:bottom w:val="single" w:sz="4" w:space="0" w:color="auto"/>
              <w:right w:val="single" w:sz="4" w:space="0" w:color="auto"/>
            </w:tcBorders>
            <w:vAlign w:val="center"/>
          </w:tcPr>
          <w:p w14:paraId="01757FE7" w14:textId="77777777" w:rsidR="00D03583" w:rsidRPr="00EB744C" w:rsidRDefault="00D03583" w:rsidP="00D50CE5">
            <w:pPr>
              <w:keepNext/>
              <w:keepLines/>
              <w:spacing w:before="0" w:after="0"/>
              <w:rPr>
                <w:sz w:val="20"/>
              </w:rPr>
            </w:pPr>
            <w:r w:rsidRPr="00EB744C">
              <w:rPr>
                <w:sz w:val="20"/>
              </w:rPr>
              <w:t>Kitchen Sink</w:t>
            </w:r>
          </w:p>
        </w:tc>
        <w:tc>
          <w:tcPr>
            <w:tcW w:w="1620" w:type="dxa"/>
            <w:tcBorders>
              <w:top w:val="single" w:sz="4" w:space="0" w:color="auto"/>
              <w:left w:val="single" w:sz="4" w:space="0" w:color="auto"/>
              <w:bottom w:val="single" w:sz="4" w:space="0" w:color="auto"/>
              <w:right w:val="single" w:sz="4" w:space="0" w:color="auto"/>
            </w:tcBorders>
          </w:tcPr>
          <w:p w14:paraId="13B865A3" w14:textId="77777777" w:rsidR="00D03583" w:rsidRPr="00EB744C" w:rsidRDefault="00D03583" w:rsidP="00D50CE5">
            <w:pPr>
              <w:keepNext/>
              <w:keepLines/>
              <w:spacing w:before="0" w:after="0"/>
              <w:ind w:right="513"/>
              <w:jc w:val="right"/>
              <w:rPr>
                <w:sz w:val="20"/>
              </w:rPr>
            </w:pPr>
            <w:r w:rsidRPr="00EB744C">
              <w:rPr>
                <w:sz w:val="20"/>
              </w:rPr>
              <w:t>1.5</w:t>
            </w:r>
          </w:p>
        </w:tc>
        <w:tc>
          <w:tcPr>
            <w:tcW w:w="1620" w:type="dxa"/>
            <w:tcBorders>
              <w:top w:val="single" w:sz="4" w:space="0" w:color="auto"/>
              <w:left w:val="single" w:sz="4" w:space="0" w:color="auto"/>
              <w:bottom w:val="single" w:sz="4" w:space="0" w:color="auto"/>
              <w:right w:val="single" w:sz="4" w:space="0" w:color="auto"/>
            </w:tcBorders>
          </w:tcPr>
          <w:p w14:paraId="241FD1D8" w14:textId="77777777" w:rsidR="00D03583" w:rsidRPr="00EB744C" w:rsidRDefault="00D03583" w:rsidP="00D50CE5">
            <w:pPr>
              <w:keepNext/>
              <w:keepLines/>
              <w:spacing w:before="0" w:after="0"/>
              <w:ind w:right="513"/>
              <w:jc w:val="right"/>
              <w:rPr>
                <w:sz w:val="20"/>
              </w:rPr>
            </w:pPr>
            <w:r w:rsidRPr="00EB744C">
              <w:rPr>
                <w:sz w:val="20"/>
              </w:rPr>
              <w:t>1.5</w:t>
            </w:r>
          </w:p>
        </w:tc>
      </w:tr>
    </w:tbl>
    <w:p w14:paraId="7668E771" w14:textId="77777777" w:rsidR="0077144C" w:rsidRPr="002C1A40" w:rsidRDefault="0077144C" w:rsidP="0077144C">
      <w:pPr>
        <w:pStyle w:val="Caption"/>
      </w:pPr>
      <w:bookmarkStart w:id="19" w:name="_Hlk11286507"/>
      <w:r w:rsidRPr="002C1A40">
        <w:t>Measure Offerings</w:t>
      </w:r>
    </w:p>
    <w:tbl>
      <w:tblPr>
        <w:tblW w:w="85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60"/>
        <w:gridCol w:w="6385"/>
      </w:tblGrid>
      <w:tr w:rsidR="0077144C" w:rsidRPr="002C1A40" w14:paraId="7B607C63" w14:textId="77777777" w:rsidTr="002C1A40">
        <w:trPr>
          <w:trHeight w:val="290"/>
          <w:tblHeader/>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3183C07B" w14:textId="77777777" w:rsidR="0077144C" w:rsidRPr="002C1A40" w:rsidRDefault="0077144C" w:rsidP="00B11438">
            <w:pPr>
              <w:spacing w:before="0" w:after="0" w:line="240" w:lineRule="auto"/>
              <w:jc w:val="center"/>
              <w:rPr>
                <w:rFonts w:eastAsia="Times New Roman" w:cs="Calibri Light"/>
                <w:b/>
                <w:bCs/>
                <w:color w:val="000000"/>
                <w:sz w:val="20"/>
                <w:szCs w:val="20"/>
              </w:rPr>
            </w:pPr>
            <w:r w:rsidRPr="002C1A40">
              <w:rPr>
                <w:rFonts w:eastAsia="Times New Roman" w:cs="Calibri Light"/>
                <w:b/>
                <w:bCs/>
                <w:color w:val="000000"/>
                <w:sz w:val="20"/>
                <w:szCs w:val="20"/>
              </w:rPr>
              <w:t>Statewide Measure Offering ID</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267BEDDA" w14:textId="77777777" w:rsidR="0077144C" w:rsidRPr="002C1A40" w:rsidRDefault="0077144C" w:rsidP="00B11438">
            <w:pPr>
              <w:spacing w:before="0" w:after="0" w:line="240" w:lineRule="auto"/>
              <w:jc w:val="center"/>
              <w:rPr>
                <w:rFonts w:eastAsia="Times New Roman" w:cs="Calibri Light"/>
                <w:b/>
                <w:bCs/>
                <w:color w:val="000000"/>
                <w:sz w:val="20"/>
                <w:szCs w:val="20"/>
              </w:rPr>
            </w:pPr>
            <w:r w:rsidRPr="002C1A40">
              <w:rPr>
                <w:rFonts w:cs="Calibri Light"/>
                <w:b/>
                <w:bCs/>
                <w:color w:val="000000"/>
                <w:sz w:val="20"/>
                <w:szCs w:val="20"/>
              </w:rPr>
              <w:t>Measure Offering Description</w:t>
            </w:r>
          </w:p>
        </w:tc>
      </w:tr>
      <w:tr w:rsidR="0077144C" w:rsidRPr="002C1A40" w14:paraId="1F1C8E9B"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3F90EB02"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SWWH001A</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5948E1C"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Kitchen Aerator, 1.5 </w:t>
            </w:r>
            <w:proofErr w:type="spellStart"/>
            <w:r w:rsidRPr="002C1A40">
              <w:rPr>
                <w:sz w:val="20"/>
                <w:szCs w:val="20"/>
              </w:rPr>
              <w:t>gpm</w:t>
            </w:r>
            <w:proofErr w:type="spellEnd"/>
            <w:r w:rsidRPr="002C1A40">
              <w:rPr>
                <w:sz w:val="20"/>
                <w:szCs w:val="20"/>
              </w:rPr>
              <w:t>, gas, AOE</w:t>
            </w:r>
          </w:p>
        </w:tc>
      </w:tr>
      <w:tr w:rsidR="0077144C" w:rsidRPr="002C1A40" w14:paraId="26929925"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2597A042"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SWWH001B</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4EBD68C"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1.2 </w:t>
            </w:r>
            <w:proofErr w:type="spellStart"/>
            <w:r w:rsidRPr="002C1A40">
              <w:rPr>
                <w:sz w:val="20"/>
                <w:szCs w:val="20"/>
              </w:rPr>
              <w:t>gpm</w:t>
            </w:r>
            <w:proofErr w:type="spellEnd"/>
            <w:r w:rsidRPr="002C1A40">
              <w:rPr>
                <w:sz w:val="20"/>
                <w:szCs w:val="20"/>
              </w:rPr>
              <w:t>, gas, AOE</w:t>
            </w:r>
          </w:p>
        </w:tc>
      </w:tr>
      <w:tr w:rsidR="0077144C" w:rsidRPr="002C1A40" w14:paraId="02D1E28A"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6109E393"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SWWH001C</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36C7503"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1.0 </w:t>
            </w:r>
            <w:proofErr w:type="spellStart"/>
            <w:r w:rsidRPr="002C1A40">
              <w:rPr>
                <w:sz w:val="20"/>
                <w:szCs w:val="20"/>
              </w:rPr>
              <w:t>gpm</w:t>
            </w:r>
            <w:proofErr w:type="spellEnd"/>
            <w:r w:rsidRPr="002C1A40">
              <w:rPr>
                <w:sz w:val="20"/>
                <w:szCs w:val="20"/>
              </w:rPr>
              <w:t>, gas, AOE</w:t>
            </w:r>
          </w:p>
        </w:tc>
      </w:tr>
      <w:tr w:rsidR="0077144C" w:rsidRPr="002C1A40" w14:paraId="3B4C7003"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48EC7191"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SWWH001D</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1CDB2AD"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0.5 </w:t>
            </w:r>
            <w:proofErr w:type="spellStart"/>
            <w:r w:rsidRPr="002C1A40">
              <w:rPr>
                <w:sz w:val="20"/>
                <w:szCs w:val="20"/>
              </w:rPr>
              <w:t>gpm</w:t>
            </w:r>
            <w:proofErr w:type="spellEnd"/>
            <w:r w:rsidRPr="002C1A40">
              <w:rPr>
                <w:sz w:val="20"/>
                <w:szCs w:val="20"/>
              </w:rPr>
              <w:t>, gas, AOE</w:t>
            </w:r>
          </w:p>
        </w:tc>
      </w:tr>
      <w:tr w:rsidR="0077144C" w:rsidRPr="002C1A40" w14:paraId="3A161D37"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7E7202C5"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SWWH001E</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6E13E0B"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Kitchen Aerator, 1.5 </w:t>
            </w:r>
            <w:proofErr w:type="spellStart"/>
            <w:r w:rsidRPr="002C1A40">
              <w:rPr>
                <w:sz w:val="20"/>
                <w:szCs w:val="20"/>
              </w:rPr>
              <w:t>gpm</w:t>
            </w:r>
            <w:proofErr w:type="spellEnd"/>
            <w:r w:rsidRPr="002C1A40">
              <w:rPr>
                <w:sz w:val="20"/>
                <w:szCs w:val="20"/>
              </w:rPr>
              <w:t>, electric, AOE</w:t>
            </w:r>
          </w:p>
        </w:tc>
      </w:tr>
      <w:tr w:rsidR="0077144C" w:rsidRPr="002C1A40" w14:paraId="77D4B215"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7D6B8C23"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SWWH001F</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1EC0DA8"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1.2 </w:t>
            </w:r>
            <w:proofErr w:type="spellStart"/>
            <w:r w:rsidRPr="002C1A40">
              <w:rPr>
                <w:sz w:val="20"/>
                <w:szCs w:val="20"/>
              </w:rPr>
              <w:t>gpm</w:t>
            </w:r>
            <w:proofErr w:type="spellEnd"/>
            <w:r w:rsidRPr="002C1A40">
              <w:rPr>
                <w:sz w:val="20"/>
                <w:szCs w:val="20"/>
              </w:rPr>
              <w:t>, electric, AOE</w:t>
            </w:r>
          </w:p>
        </w:tc>
      </w:tr>
      <w:tr w:rsidR="0077144C" w:rsidRPr="002C1A40" w14:paraId="1D344D64"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35C0B77B"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SWWH001G</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4BBA3B"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1.0 </w:t>
            </w:r>
            <w:proofErr w:type="spellStart"/>
            <w:r w:rsidRPr="002C1A40">
              <w:rPr>
                <w:sz w:val="20"/>
                <w:szCs w:val="20"/>
              </w:rPr>
              <w:t>gpm</w:t>
            </w:r>
            <w:proofErr w:type="spellEnd"/>
            <w:r w:rsidRPr="002C1A40">
              <w:rPr>
                <w:sz w:val="20"/>
                <w:szCs w:val="20"/>
              </w:rPr>
              <w:t>, electric, AOE</w:t>
            </w:r>
          </w:p>
        </w:tc>
      </w:tr>
      <w:tr w:rsidR="0077144C" w:rsidRPr="002C1A40" w14:paraId="34B18758"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7A89B4A4"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SWWH001H</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E3E414"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0.5 </w:t>
            </w:r>
            <w:proofErr w:type="spellStart"/>
            <w:r w:rsidRPr="002C1A40">
              <w:rPr>
                <w:sz w:val="20"/>
                <w:szCs w:val="20"/>
              </w:rPr>
              <w:t>gpm</w:t>
            </w:r>
            <w:proofErr w:type="spellEnd"/>
            <w:r w:rsidRPr="002C1A40">
              <w:rPr>
                <w:sz w:val="20"/>
                <w:szCs w:val="20"/>
              </w:rPr>
              <w:t>, electric, AOE</w:t>
            </w:r>
          </w:p>
        </w:tc>
      </w:tr>
      <w:tr w:rsidR="0077144C" w:rsidRPr="002C1A40" w14:paraId="1FE5CEEF"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19A1F7AA"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SWWH001I</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A6ED2D"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Kitchen Aerator, 1.5 </w:t>
            </w:r>
            <w:proofErr w:type="spellStart"/>
            <w:r w:rsidRPr="002C1A40">
              <w:rPr>
                <w:sz w:val="20"/>
                <w:szCs w:val="20"/>
              </w:rPr>
              <w:t>gpm</w:t>
            </w:r>
            <w:proofErr w:type="spellEnd"/>
            <w:r w:rsidRPr="002C1A40">
              <w:rPr>
                <w:sz w:val="20"/>
                <w:szCs w:val="20"/>
              </w:rPr>
              <w:t>, gas, AR</w:t>
            </w:r>
          </w:p>
        </w:tc>
      </w:tr>
      <w:tr w:rsidR="0077144C" w:rsidRPr="002C1A40" w14:paraId="4FFF9209"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4E407CC4"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SWWH001J</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AFF5228"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1.2 </w:t>
            </w:r>
            <w:proofErr w:type="spellStart"/>
            <w:r w:rsidRPr="002C1A40">
              <w:rPr>
                <w:sz w:val="20"/>
                <w:szCs w:val="20"/>
              </w:rPr>
              <w:t>gpm</w:t>
            </w:r>
            <w:proofErr w:type="spellEnd"/>
            <w:r w:rsidRPr="002C1A40">
              <w:rPr>
                <w:sz w:val="20"/>
                <w:szCs w:val="20"/>
              </w:rPr>
              <w:t>, gas, AR</w:t>
            </w:r>
          </w:p>
        </w:tc>
      </w:tr>
      <w:tr w:rsidR="0077144C" w:rsidRPr="002C1A40" w14:paraId="16565341"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1A924461"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SWWH001K</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856004C"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1.0 </w:t>
            </w:r>
            <w:proofErr w:type="spellStart"/>
            <w:r w:rsidRPr="002C1A40">
              <w:rPr>
                <w:sz w:val="20"/>
                <w:szCs w:val="20"/>
              </w:rPr>
              <w:t>gpm</w:t>
            </w:r>
            <w:proofErr w:type="spellEnd"/>
            <w:r w:rsidRPr="002C1A40">
              <w:rPr>
                <w:sz w:val="20"/>
                <w:szCs w:val="20"/>
              </w:rPr>
              <w:t>, gas, AR</w:t>
            </w:r>
          </w:p>
        </w:tc>
      </w:tr>
      <w:tr w:rsidR="0077144C" w:rsidRPr="002C1A40" w14:paraId="4BF345A2"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08C4B0F8"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SWWH001L</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CC5D116"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0.5 </w:t>
            </w:r>
            <w:proofErr w:type="spellStart"/>
            <w:r w:rsidRPr="002C1A40">
              <w:rPr>
                <w:sz w:val="20"/>
                <w:szCs w:val="20"/>
              </w:rPr>
              <w:t>gpm</w:t>
            </w:r>
            <w:proofErr w:type="spellEnd"/>
            <w:r w:rsidRPr="002C1A40">
              <w:rPr>
                <w:sz w:val="20"/>
                <w:szCs w:val="20"/>
              </w:rPr>
              <w:t>, gas, AR</w:t>
            </w:r>
          </w:p>
        </w:tc>
      </w:tr>
      <w:tr w:rsidR="0077144C" w:rsidRPr="002C1A40" w14:paraId="6494D520"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4EC32F71"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SWWH001M</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0FFE8DB"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Kitchen Aerator, 1.5 </w:t>
            </w:r>
            <w:proofErr w:type="spellStart"/>
            <w:r w:rsidRPr="002C1A40">
              <w:rPr>
                <w:sz w:val="20"/>
                <w:szCs w:val="20"/>
              </w:rPr>
              <w:t>gpm</w:t>
            </w:r>
            <w:proofErr w:type="spellEnd"/>
            <w:r w:rsidRPr="002C1A40">
              <w:rPr>
                <w:sz w:val="20"/>
                <w:szCs w:val="20"/>
              </w:rPr>
              <w:t>, electric, AR</w:t>
            </w:r>
          </w:p>
        </w:tc>
      </w:tr>
      <w:tr w:rsidR="0077144C" w:rsidRPr="002C1A40" w14:paraId="5BE11AAC"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3CC115FA"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SWWH001N</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674DA21"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1.2 </w:t>
            </w:r>
            <w:proofErr w:type="spellStart"/>
            <w:r w:rsidRPr="002C1A40">
              <w:rPr>
                <w:sz w:val="20"/>
                <w:szCs w:val="20"/>
              </w:rPr>
              <w:t>gpm</w:t>
            </w:r>
            <w:proofErr w:type="spellEnd"/>
            <w:r w:rsidRPr="002C1A40">
              <w:rPr>
                <w:sz w:val="20"/>
                <w:szCs w:val="20"/>
              </w:rPr>
              <w:t>, electric, AR</w:t>
            </w:r>
          </w:p>
        </w:tc>
      </w:tr>
      <w:tr w:rsidR="0077144C" w:rsidRPr="002C1A40" w14:paraId="03606ECF"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65C92DE5"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SWWH001O</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1F29C3B"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1.0 </w:t>
            </w:r>
            <w:proofErr w:type="spellStart"/>
            <w:r w:rsidRPr="002C1A40">
              <w:rPr>
                <w:sz w:val="20"/>
                <w:szCs w:val="20"/>
              </w:rPr>
              <w:t>gpm</w:t>
            </w:r>
            <w:proofErr w:type="spellEnd"/>
            <w:r w:rsidRPr="002C1A40">
              <w:rPr>
                <w:sz w:val="20"/>
                <w:szCs w:val="20"/>
              </w:rPr>
              <w:t>, electric, AR</w:t>
            </w:r>
          </w:p>
        </w:tc>
      </w:tr>
      <w:tr w:rsidR="0077144C" w:rsidRPr="002C1A40" w14:paraId="4AA7774E"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2587B9EB"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SWWH001P</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F4211E"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Aerator, 0.5 </w:t>
            </w:r>
            <w:proofErr w:type="spellStart"/>
            <w:r w:rsidRPr="002C1A40">
              <w:rPr>
                <w:sz w:val="20"/>
                <w:szCs w:val="20"/>
              </w:rPr>
              <w:t>gpm</w:t>
            </w:r>
            <w:proofErr w:type="spellEnd"/>
            <w:r w:rsidRPr="002C1A40">
              <w:rPr>
                <w:sz w:val="20"/>
                <w:szCs w:val="20"/>
              </w:rPr>
              <w:t>, electric, AR</w:t>
            </w:r>
          </w:p>
        </w:tc>
      </w:tr>
      <w:tr w:rsidR="0077144C" w:rsidRPr="002C1A40" w14:paraId="52C0EB21"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1598CB66"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SWWH001Q</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1BFB64A"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Kitchen Flow Control Valve, 1.5 </w:t>
            </w:r>
            <w:proofErr w:type="spellStart"/>
            <w:r w:rsidRPr="002C1A40">
              <w:rPr>
                <w:sz w:val="20"/>
                <w:szCs w:val="20"/>
              </w:rPr>
              <w:t>gpm</w:t>
            </w:r>
            <w:proofErr w:type="spellEnd"/>
            <w:r w:rsidRPr="002C1A40">
              <w:rPr>
                <w:sz w:val="20"/>
                <w:szCs w:val="20"/>
              </w:rPr>
              <w:t>, gas, AOE</w:t>
            </w:r>
          </w:p>
        </w:tc>
      </w:tr>
      <w:tr w:rsidR="0077144C" w:rsidRPr="002C1A40" w14:paraId="77553CE5"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4E093E4F"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SWWH001R</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3A83710"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Flow Control Valve, 1.2 </w:t>
            </w:r>
            <w:proofErr w:type="spellStart"/>
            <w:r w:rsidRPr="002C1A40">
              <w:rPr>
                <w:sz w:val="20"/>
                <w:szCs w:val="20"/>
              </w:rPr>
              <w:t>gpm</w:t>
            </w:r>
            <w:proofErr w:type="spellEnd"/>
            <w:r w:rsidRPr="002C1A40">
              <w:rPr>
                <w:sz w:val="20"/>
                <w:szCs w:val="20"/>
              </w:rPr>
              <w:t>, gas, AOE</w:t>
            </w:r>
          </w:p>
        </w:tc>
      </w:tr>
      <w:tr w:rsidR="0077144C" w:rsidRPr="002C1A40" w14:paraId="4F403EF2"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1C0E2676"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SWWH001S</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5E64DB6"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Flow Control Valve, 1.0 </w:t>
            </w:r>
            <w:proofErr w:type="spellStart"/>
            <w:r w:rsidRPr="002C1A40">
              <w:rPr>
                <w:sz w:val="20"/>
                <w:szCs w:val="20"/>
              </w:rPr>
              <w:t>gpm</w:t>
            </w:r>
            <w:proofErr w:type="spellEnd"/>
            <w:r w:rsidRPr="002C1A40">
              <w:rPr>
                <w:sz w:val="20"/>
                <w:szCs w:val="20"/>
              </w:rPr>
              <w:t>, gas, AOE</w:t>
            </w:r>
          </w:p>
        </w:tc>
      </w:tr>
      <w:tr w:rsidR="0077144C" w:rsidRPr="002C1A40" w14:paraId="0BFEF731"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6EBB9F1B" w14:textId="77777777" w:rsidR="0077144C" w:rsidRPr="002C1A40" w:rsidRDefault="0077144C" w:rsidP="00B11438">
            <w:pPr>
              <w:spacing w:before="0" w:after="0" w:line="240" w:lineRule="auto"/>
              <w:rPr>
                <w:rFonts w:eastAsia="Times New Roman" w:cs="Calibri Light"/>
                <w:color w:val="000000"/>
                <w:sz w:val="20"/>
                <w:szCs w:val="20"/>
              </w:rPr>
            </w:pPr>
            <w:r w:rsidRPr="002C1A40">
              <w:rPr>
                <w:rFonts w:eastAsia="Times New Roman" w:cs="Calibri Light"/>
                <w:color w:val="000000"/>
                <w:sz w:val="20"/>
                <w:szCs w:val="20"/>
              </w:rPr>
              <w:t>SWWH001T</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ED3BCCE" w14:textId="77777777" w:rsidR="0077144C" w:rsidRPr="002C1A40" w:rsidRDefault="0077144C" w:rsidP="00B11438">
            <w:pPr>
              <w:spacing w:before="0" w:after="0" w:line="240" w:lineRule="auto"/>
              <w:rPr>
                <w:rFonts w:eastAsia="Times New Roman" w:cs="Calibri Light"/>
                <w:color w:val="000000"/>
                <w:sz w:val="20"/>
                <w:szCs w:val="20"/>
              </w:rPr>
            </w:pPr>
            <w:r w:rsidRPr="002C1A40">
              <w:rPr>
                <w:sz w:val="20"/>
                <w:szCs w:val="20"/>
              </w:rPr>
              <w:t xml:space="preserve">Faucet, Lavatory Flow Control Valve, 0.5 </w:t>
            </w:r>
            <w:proofErr w:type="spellStart"/>
            <w:r w:rsidRPr="002C1A40">
              <w:rPr>
                <w:sz w:val="20"/>
                <w:szCs w:val="20"/>
              </w:rPr>
              <w:t>gpm</w:t>
            </w:r>
            <w:proofErr w:type="spellEnd"/>
            <w:r w:rsidRPr="002C1A40">
              <w:rPr>
                <w:sz w:val="20"/>
                <w:szCs w:val="20"/>
              </w:rPr>
              <w:t>, gas, AOE</w:t>
            </w:r>
          </w:p>
        </w:tc>
      </w:tr>
      <w:tr w:rsidR="0077144C" w:rsidRPr="002C1A40" w14:paraId="72BE167A"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4F5DC9CC" w14:textId="77777777" w:rsidR="0077144C" w:rsidRPr="002C1A40" w:rsidRDefault="0077144C" w:rsidP="00B11438">
            <w:pPr>
              <w:spacing w:before="0" w:after="0" w:line="240" w:lineRule="auto"/>
              <w:rPr>
                <w:rFonts w:eastAsia="Times New Roman" w:cs="Calibri Light"/>
                <w:sz w:val="20"/>
                <w:szCs w:val="20"/>
              </w:rPr>
            </w:pPr>
            <w:r w:rsidRPr="002C1A40">
              <w:rPr>
                <w:rFonts w:eastAsia="Times New Roman" w:cs="Calibri Light"/>
                <w:sz w:val="20"/>
                <w:szCs w:val="20"/>
              </w:rPr>
              <w:t>SWWH001U</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C137D63" w14:textId="77777777" w:rsidR="0077144C" w:rsidRPr="002C1A40" w:rsidRDefault="0077144C" w:rsidP="00B11438">
            <w:pPr>
              <w:spacing w:before="0" w:after="0" w:line="240" w:lineRule="auto"/>
              <w:rPr>
                <w:rFonts w:eastAsia="Times New Roman" w:cs="Calibri Light"/>
                <w:sz w:val="20"/>
                <w:szCs w:val="20"/>
              </w:rPr>
            </w:pPr>
            <w:r w:rsidRPr="002C1A40">
              <w:rPr>
                <w:sz w:val="20"/>
                <w:szCs w:val="20"/>
              </w:rPr>
              <w:t xml:space="preserve">Faucet, Kitchen Flow Control Valve, 1.5 </w:t>
            </w:r>
            <w:proofErr w:type="spellStart"/>
            <w:r w:rsidRPr="002C1A40">
              <w:rPr>
                <w:sz w:val="20"/>
                <w:szCs w:val="20"/>
              </w:rPr>
              <w:t>gpm</w:t>
            </w:r>
            <w:proofErr w:type="spellEnd"/>
            <w:r w:rsidRPr="002C1A40">
              <w:rPr>
                <w:sz w:val="20"/>
                <w:szCs w:val="20"/>
              </w:rPr>
              <w:t>, electric, AOE</w:t>
            </w:r>
          </w:p>
        </w:tc>
      </w:tr>
      <w:tr w:rsidR="0077144C" w:rsidRPr="002C1A40" w14:paraId="4AD3D136"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01714C85" w14:textId="77777777" w:rsidR="0077144C" w:rsidRPr="002C1A40" w:rsidRDefault="0077144C" w:rsidP="00B11438">
            <w:pPr>
              <w:spacing w:before="0" w:after="0" w:line="240" w:lineRule="auto"/>
              <w:rPr>
                <w:rFonts w:eastAsia="Times New Roman" w:cs="Calibri Light"/>
                <w:sz w:val="20"/>
                <w:szCs w:val="20"/>
              </w:rPr>
            </w:pPr>
            <w:r w:rsidRPr="002C1A40">
              <w:rPr>
                <w:rFonts w:eastAsia="Times New Roman" w:cs="Calibri Light"/>
                <w:sz w:val="20"/>
                <w:szCs w:val="20"/>
              </w:rPr>
              <w:t>SWWH001V</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2914A14" w14:textId="77777777" w:rsidR="0077144C" w:rsidRPr="002C1A40" w:rsidRDefault="0077144C" w:rsidP="00B11438">
            <w:pPr>
              <w:spacing w:before="0" w:after="0" w:line="240" w:lineRule="auto"/>
              <w:rPr>
                <w:rFonts w:eastAsia="Times New Roman" w:cs="Calibri Light"/>
                <w:sz w:val="20"/>
                <w:szCs w:val="20"/>
              </w:rPr>
            </w:pPr>
            <w:r w:rsidRPr="002C1A40">
              <w:rPr>
                <w:sz w:val="20"/>
                <w:szCs w:val="20"/>
              </w:rPr>
              <w:t xml:space="preserve">Faucet, Lavatory Flow Control Valve, 1.2 </w:t>
            </w:r>
            <w:proofErr w:type="spellStart"/>
            <w:r w:rsidRPr="002C1A40">
              <w:rPr>
                <w:sz w:val="20"/>
                <w:szCs w:val="20"/>
              </w:rPr>
              <w:t>gpm</w:t>
            </w:r>
            <w:proofErr w:type="spellEnd"/>
            <w:r w:rsidRPr="002C1A40">
              <w:rPr>
                <w:sz w:val="20"/>
                <w:szCs w:val="20"/>
              </w:rPr>
              <w:t>, electric, AOE</w:t>
            </w:r>
          </w:p>
        </w:tc>
      </w:tr>
      <w:tr w:rsidR="0077144C" w:rsidRPr="002C1A40" w14:paraId="550A1A1B"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3B0DD1DE" w14:textId="77777777" w:rsidR="0077144C" w:rsidRPr="002C1A40" w:rsidRDefault="0077144C" w:rsidP="00B11438">
            <w:pPr>
              <w:spacing w:before="0" w:after="0" w:line="240" w:lineRule="auto"/>
              <w:rPr>
                <w:rFonts w:eastAsia="Times New Roman" w:cs="Calibri Light"/>
                <w:sz w:val="20"/>
                <w:szCs w:val="20"/>
              </w:rPr>
            </w:pPr>
            <w:r w:rsidRPr="002C1A40">
              <w:rPr>
                <w:rFonts w:eastAsia="Times New Roman" w:cs="Calibri Light"/>
                <w:sz w:val="20"/>
                <w:szCs w:val="20"/>
              </w:rPr>
              <w:t>SWWH001W</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C3915E8" w14:textId="77777777" w:rsidR="0077144C" w:rsidRPr="002C1A40" w:rsidRDefault="0077144C" w:rsidP="00B11438">
            <w:pPr>
              <w:spacing w:before="0" w:after="0" w:line="240" w:lineRule="auto"/>
              <w:rPr>
                <w:rFonts w:eastAsia="Times New Roman" w:cs="Calibri Light"/>
                <w:sz w:val="20"/>
                <w:szCs w:val="20"/>
              </w:rPr>
            </w:pPr>
            <w:r w:rsidRPr="002C1A40">
              <w:rPr>
                <w:sz w:val="20"/>
                <w:szCs w:val="20"/>
              </w:rPr>
              <w:t xml:space="preserve">Faucet, Lavatory Flow Control Valve, 1.0 </w:t>
            </w:r>
            <w:proofErr w:type="spellStart"/>
            <w:r w:rsidRPr="002C1A40">
              <w:rPr>
                <w:sz w:val="20"/>
                <w:szCs w:val="20"/>
              </w:rPr>
              <w:t>gpm</w:t>
            </w:r>
            <w:proofErr w:type="spellEnd"/>
            <w:r w:rsidRPr="002C1A40">
              <w:rPr>
                <w:sz w:val="20"/>
                <w:szCs w:val="20"/>
              </w:rPr>
              <w:t>, electric, AOE</w:t>
            </w:r>
          </w:p>
        </w:tc>
      </w:tr>
      <w:tr w:rsidR="0077144C" w:rsidRPr="002C1A40" w14:paraId="1DFAEB1E" w14:textId="77777777" w:rsidTr="002C1A40">
        <w:trPr>
          <w:trHeight w:val="290"/>
        </w:trPr>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bottom"/>
            <w:hideMark/>
          </w:tcPr>
          <w:p w14:paraId="7F9859D1" w14:textId="77777777" w:rsidR="0077144C" w:rsidRPr="002C1A40" w:rsidRDefault="0077144C" w:rsidP="00B11438">
            <w:pPr>
              <w:spacing w:before="0" w:after="0" w:line="240" w:lineRule="auto"/>
              <w:rPr>
                <w:rFonts w:eastAsia="Times New Roman" w:cs="Calibri Light"/>
                <w:sz w:val="20"/>
                <w:szCs w:val="20"/>
              </w:rPr>
            </w:pPr>
            <w:r w:rsidRPr="002C1A40">
              <w:rPr>
                <w:rFonts w:eastAsia="Times New Roman" w:cs="Calibri Light"/>
                <w:sz w:val="20"/>
                <w:szCs w:val="20"/>
              </w:rPr>
              <w:t>SWWH001X</w:t>
            </w:r>
          </w:p>
        </w:tc>
        <w:tc>
          <w:tcPr>
            <w:tcW w:w="63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2BAA93B" w14:textId="77777777" w:rsidR="0077144C" w:rsidRPr="002C1A40" w:rsidRDefault="0077144C" w:rsidP="00B11438">
            <w:pPr>
              <w:spacing w:before="0" w:after="0" w:line="240" w:lineRule="auto"/>
              <w:rPr>
                <w:rFonts w:eastAsia="Times New Roman" w:cs="Calibri Light"/>
                <w:sz w:val="20"/>
                <w:szCs w:val="20"/>
              </w:rPr>
            </w:pPr>
            <w:r w:rsidRPr="002C1A40">
              <w:rPr>
                <w:sz w:val="20"/>
                <w:szCs w:val="20"/>
              </w:rPr>
              <w:t xml:space="preserve">Faucet, Lavatory Flow Control Valve, 0.5 </w:t>
            </w:r>
            <w:proofErr w:type="spellStart"/>
            <w:r w:rsidRPr="002C1A40">
              <w:rPr>
                <w:sz w:val="20"/>
                <w:szCs w:val="20"/>
              </w:rPr>
              <w:t>gpm</w:t>
            </w:r>
            <w:proofErr w:type="spellEnd"/>
            <w:r w:rsidRPr="002C1A40">
              <w:rPr>
                <w:sz w:val="20"/>
                <w:szCs w:val="20"/>
              </w:rPr>
              <w:t>, electric, AOE</w:t>
            </w:r>
          </w:p>
        </w:tc>
      </w:tr>
      <w:bookmarkEnd w:id="19"/>
    </w:tbl>
    <w:p w14:paraId="086A3673" w14:textId="0C3B172D" w:rsidR="58445BA4" w:rsidRPr="002C1A40" w:rsidRDefault="58445BA4" w:rsidP="007D5AD5"/>
    <w:p w14:paraId="54FD79D6" w14:textId="7740C978" w:rsidR="00E70CBD" w:rsidRPr="002C1A40" w:rsidRDefault="00E70CBD" w:rsidP="00462BB6">
      <w:pPr>
        <w:pStyle w:val="eTRMHeading3"/>
      </w:pPr>
      <w:bookmarkStart w:id="20" w:name="_Toc486490849"/>
      <w:bookmarkStart w:id="21" w:name="_Toc486580920"/>
      <w:bookmarkStart w:id="22" w:name="_Toc12567161"/>
      <w:r w:rsidRPr="002C1A40">
        <w:t>Base Case Description</w:t>
      </w:r>
      <w:bookmarkEnd w:id="20"/>
      <w:bookmarkEnd w:id="21"/>
      <w:bookmarkEnd w:id="22"/>
      <w:r w:rsidRPr="002C1A40">
        <w:t xml:space="preserve"> </w:t>
      </w:r>
    </w:p>
    <w:p w14:paraId="475FAA84" w14:textId="225514A4" w:rsidR="00A50E60" w:rsidRPr="00E35947" w:rsidRDefault="00A50E60" w:rsidP="7FB13BFA">
      <w:pPr>
        <w:rPr>
          <w:rFonts w:cs="Calibri Light"/>
        </w:rPr>
      </w:pPr>
      <w:r w:rsidRPr="002C1A40">
        <w:rPr>
          <w:rFonts w:cs="Calibri Light"/>
        </w:rPr>
        <w:t xml:space="preserve">The base case for an </w:t>
      </w:r>
      <w:r w:rsidRPr="002C1A40">
        <w:rPr>
          <w:rFonts w:cs="Calibri Light"/>
          <w:i/>
          <w:iCs/>
        </w:rPr>
        <w:t>add-on equipment installation</w:t>
      </w:r>
      <w:r w:rsidRPr="002C1A40">
        <w:rPr>
          <w:rFonts w:cs="Calibri Light"/>
        </w:rPr>
        <w:t xml:space="preserve"> </w:t>
      </w:r>
      <w:r w:rsidR="006F41FD" w:rsidRPr="002C1A40">
        <w:rPr>
          <w:rFonts w:cs="Calibri Light"/>
        </w:rPr>
        <w:t>is</w:t>
      </w:r>
      <w:r w:rsidR="00F436B0" w:rsidRPr="002C1A40">
        <w:rPr>
          <w:rFonts w:cs="Calibri Light"/>
        </w:rPr>
        <w:t xml:space="preserve"> defined as</w:t>
      </w:r>
      <w:r w:rsidR="006F41FD" w:rsidRPr="002C1A40">
        <w:rPr>
          <w:rFonts w:cs="Calibri Light"/>
        </w:rPr>
        <w:t xml:space="preserve"> an existing </w:t>
      </w:r>
      <w:r w:rsidR="007E5FC8" w:rsidRPr="002C1A40">
        <w:rPr>
          <w:rFonts w:cs="Calibri Light"/>
        </w:rPr>
        <w:t xml:space="preserve">residential </w:t>
      </w:r>
      <w:r w:rsidR="00246240" w:rsidRPr="002C1A40">
        <w:rPr>
          <w:rFonts w:cs="Calibri Light"/>
        </w:rPr>
        <w:t>lavatory</w:t>
      </w:r>
      <w:r w:rsidR="006F41FD" w:rsidRPr="002C1A40">
        <w:rPr>
          <w:rFonts w:cs="Calibri Light"/>
        </w:rPr>
        <w:t xml:space="preserve"> </w:t>
      </w:r>
      <w:r w:rsidR="00332B1F" w:rsidRPr="002C1A40">
        <w:rPr>
          <w:rFonts w:cs="Calibri Light"/>
        </w:rPr>
        <w:t xml:space="preserve">faucet </w:t>
      </w:r>
      <w:r w:rsidR="006F41FD" w:rsidRPr="002C1A40">
        <w:rPr>
          <w:rFonts w:cs="Calibri Light"/>
        </w:rPr>
        <w:t xml:space="preserve">or kitchen faucet without an aerator or </w:t>
      </w:r>
      <w:r w:rsidR="007F12EE" w:rsidRPr="002C1A40">
        <w:rPr>
          <w:rFonts w:cs="Calibri Light"/>
        </w:rPr>
        <w:t>flow control valve (</w:t>
      </w:r>
      <w:r w:rsidR="006F41FD" w:rsidRPr="002C1A40">
        <w:rPr>
          <w:rFonts w:cs="Calibri Light"/>
        </w:rPr>
        <w:t>FCV</w:t>
      </w:r>
      <w:r w:rsidR="007F12EE" w:rsidRPr="002C1A40">
        <w:rPr>
          <w:rFonts w:cs="Calibri Light"/>
        </w:rPr>
        <w:t>)</w:t>
      </w:r>
      <w:r w:rsidR="006F41FD" w:rsidRPr="002C1A40">
        <w:rPr>
          <w:rFonts w:cs="Calibri Light"/>
        </w:rPr>
        <w:t xml:space="preserve"> installed</w:t>
      </w:r>
      <w:r w:rsidR="006F41FD" w:rsidRPr="7FB13BFA">
        <w:rPr>
          <w:rFonts w:cs="Calibri Light"/>
        </w:rPr>
        <w:t xml:space="preserve">, with a flow rate of 2.2 </w:t>
      </w:r>
      <w:proofErr w:type="spellStart"/>
      <w:r w:rsidR="00BE4E8D" w:rsidRPr="7FB13BFA">
        <w:rPr>
          <w:rFonts w:cs="Calibri Light"/>
        </w:rPr>
        <w:t>gpm</w:t>
      </w:r>
      <w:proofErr w:type="spellEnd"/>
      <w:r w:rsidR="006F41FD" w:rsidRPr="7FB13BFA">
        <w:rPr>
          <w:rFonts w:cs="Calibri Light"/>
        </w:rPr>
        <w:t>.</w:t>
      </w:r>
      <w:r w:rsidR="00534040" w:rsidRPr="7FB13BFA">
        <w:rPr>
          <w:rFonts w:cs="Calibri Light"/>
        </w:rPr>
        <w:t xml:space="preserve"> This </w:t>
      </w:r>
      <w:r w:rsidR="00F436B0" w:rsidRPr="7FB13BFA">
        <w:rPr>
          <w:rFonts w:cs="Calibri Light"/>
        </w:rPr>
        <w:t xml:space="preserve">designated base case </w:t>
      </w:r>
      <w:r w:rsidR="00534040" w:rsidRPr="7FB13BFA">
        <w:rPr>
          <w:rFonts w:cs="Calibri Light"/>
        </w:rPr>
        <w:t xml:space="preserve">flow rate </w:t>
      </w:r>
      <w:r w:rsidR="00E35947" w:rsidRPr="7FB13BFA">
        <w:rPr>
          <w:rFonts w:cs="Calibri Light"/>
        </w:rPr>
        <w:t xml:space="preserve">represents the existing condition and </w:t>
      </w:r>
      <w:r w:rsidR="00865573" w:rsidRPr="7FB13BFA">
        <w:rPr>
          <w:rFonts w:cs="Calibri Light"/>
        </w:rPr>
        <w:t xml:space="preserve">was derived from </w:t>
      </w:r>
      <w:r w:rsidR="00E35947">
        <w:t xml:space="preserve">data from the Sempra Energy Utilities (San Diego Gas and Electric and the Southern California Gas Company) 2009 field </w:t>
      </w:r>
      <w:r w:rsidR="00E35947">
        <w:lastRenderedPageBreak/>
        <w:t>survey.</w:t>
      </w:r>
      <w:r w:rsidR="00E35947">
        <w:rPr>
          <w:rStyle w:val="FootnoteReference"/>
        </w:rPr>
        <w:footnoteReference w:id="2"/>
      </w:r>
      <w:r w:rsidR="00E35947">
        <w:t xml:space="preserve"> This flow rate is also adopted for t</w:t>
      </w:r>
      <w:r w:rsidRPr="7FB13BFA">
        <w:rPr>
          <w:rFonts w:cs="Calibri Light"/>
        </w:rPr>
        <w:t xml:space="preserve">he </w:t>
      </w:r>
      <w:r w:rsidR="00E35947" w:rsidRPr="7FB13BFA">
        <w:rPr>
          <w:rFonts w:cs="Calibri Light"/>
        </w:rPr>
        <w:t>first baseline period</w:t>
      </w:r>
      <w:r w:rsidRPr="7FB13BFA">
        <w:rPr>
          <w:rFonts w:cs="Calibri Light"/>
        </w:rPr>
        <w:t xml:space="preserve"> an </w:t>
      </w:r>
      <w:r w:rsidRPr="7FB13BFA">
        <w:rPr>
          <w:rFonts w:cs="Calibri Light"/>
          <w:i/>
          <w:iCs/>
        </w:rPr>
        <w:t>accelerated replacement installation</w:t>
      </w:r>
      <w:r w:rsidR="00E35947" w:rsidRPr="7FB13BFA">
        <w:rPr>
          <w:rFonts w:cs="Calibri Light"/>
        </w:rPr>
        <w:t xml:space="preserve">. The baseline flow rates for the second baseline period of an </w:t>
      </w:r>
      <w:r w:rsidR="00E35947" w:rsidRPr="7FB13BFA">
        <w:rPr>
          <w:rFonts w:cs="Calibri Light"/>
          <w:i/>
          <w:iCs/>
        </w:rPr>
        <w:t>accelerated replacement installation</w:t>
      </w:r>
      <w:r w:rsidR="00E35947" w:rsidRPr="7FB13BFA">
        <w:rPr>
          <w:rFonts w:cs="Calibri Light"/>
        </w:rPr>
        <w:t xml:space="preserve"> is equal to the flow rate stipulated by code.</w:t>
      </w:r>
    </w:p>
    <w:p w14:paraId="398E3CCF" w14:textId="3FDA7E58" w:rsidR="00A50E60" w:rsidRDefault="00A50E60" w:rsidP="00A50E60">
      <w:pPr>
        <w:pStyle w:val="Caption"/>
        <w:rPr>
          <w:rFonts w:cs="Calibri Light"/>
        </w:rPr>
      </w:pPr>
      <w:r>
        <w:t>Base Case Specification - Lavatory Sink</w:t>
      </w:r>
    </w:p>
    <w:tbl>
      <w:tblPr>
        <w:tblW w:w="898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36"/>
        <w:gridCol w:w="1350"/>
        <w:gridCol w:w="1440"/>
        <w:gridCol w:w="3456"/>
      </w:tblGrid>
      <w:tr w:rsidR="00A50E60" w:rsidRPr="002D723D" w14:paraId="5ECED5EE" w14:textId="77777777" w:rsidTr="00D124E1">
        <w:trPr>
          <w:trHeight w:val="20"/>
          <w:tblHeader/>
        </w:trPr>
        <w:tc>
          <w:tcPr>
            <w:tcW w:w="2736" w:type="dxa"/>
            <w:shd w:val="clear" w:color="auto" w:fill="F2F2F2" w:themeFill="background1" w:themeFillShade="F2"/>
            <w:noWrap/>
            <w:vAlign w:val="bottom"/>
          </w:tcPr>
          <w:p w14:paraId="20BFB215" w14:textId="77777777" w:rsidR="00A50E60" w:rsidRDefault="00A50E60" w:rsidP="00A50E60">
            <w:pPr>
              <w:spacing w:before="0" w:after="0" w:line="240" w:lineRule="auto"/>
              <w:rPr>
                <w:rFonts w:eastAsia="Times New Roman" w:cs="Calibri Light"/>
                <w:b/>
                <w:sz w:val="20"/>
                <w:szCs w:val="20"/>
              </w:rPr>
            </w:pPr>
            <w:r>
              <w:rPr>
                <w:rFonts w:eastAsia="Times New Roman" w:cs="Calibri Light"/>
                <w:b/>
                <w:sz w:val="20"/>
                <w:szCs w:val="20"/>
              </w:rPr>
              <w:t>Installation Type</w:t>
            </w:r>
          </w:p>
        </w:tc>
        <w:tc>
          <w:tcPr>
            <w:tcW w:w="1350" w:type="dxa"/>
            <w:shd w:val="clear" w:color="auto" w:fill="F2F2F2" w:themeFill="background1" w:themeFillShade="F2"/>
            <w:noWrap/>
            <w:vAlign w:val="bottom"/>
          </w:tcPr>
          <w:p w14:paraId="751FA425" w14:textId="7AE71FDF" w:rsidR="00A50E60" w:rsidRDefault="00A50E60" w:rsidP="00A50E60">
            <w:pPr>
              <w:spacing w:before="0" w:after="0" w:line="240" w:lineRule="auto"/>
              <w:jc w:val="center"/>
              <w:rPr>
                <w:rFonts w:eastAsia="Times New Roman" w:cs="Calibri Light"/>
                <w:b/>
                <w:sz w:val="20"/>
                <w:szCs w:val="20"/>
              </w:rPr>
            </w:pPr>
            <w:r>
              <w:rPr>
                <w:b/>
                <w:sz w:val="20"/>
              </w:rPr>
              <w:t>Single Family</w:t>
            </w:r>
            <w:r>
              <w:rPr>
                <w:b/>
                <w:sz w:val="20"/>
              </w:rPr>
              <w:br/>
            </w:r>
            <w:r w:rsidRPr="00EB744C">
              <w:rPr>
                <w:b/>
                <w:sz w:val="20"/>
              </w:rPr>
              <w:t xml:space="preserve">Flow Rate </w:t>
            </w:r>
            <w:r>
              <w:rPr>
                <w:b/>
                <w:sz w:val="20"/>
              </w:rPr>
              <w:br/>
            </w:r>
            <w:r w:rsidRPr="00EB744C">
              <w:rPr>
                <w:b/>
                <w:sz w:val="20"/>
              </w:rPr>
              <w:t>(</w:t>
            </w:r>
            <w:proofErr w:type="spellStart"/>
            <w:r w:rsidRPr="00EB744C">
              <w:rPr>
                <w:b/>
                <w:sz w:val="20"/>
              </w:rPr>
              <w:t>gpm</w:t>
            </w:r>
            <w:proofErr w:type="spellEnd"/>
            <w:r w:rsidRPr="00EB744C">
              <w:rPr>
                <w:b/>
                <w:sz w:val="20"/>
              </w:rPr>
              <w:t>)</w:t>
            </w:r>
          </w:p>
        </w:tc>
        <w:tc>
          <w:tcPr>
            <w:tcW w:w="1440" w:type="dxa"/>
            <w:shd w:val="clear" w:color="auto" w:fill="F2F2F2" w:themeFill="background1" w:themeFillShade="F2"/>
            <w:vAlign w:val="bottom"/>
          </w:tcPr>
          <w:p w14:paraId="68C7A82D" w14:textId="0FBEABBF" w:rsidR="00A50E60" w:rsidRDefault="00A50E60" w:rsidP="00A50E60">
            <w:pPr>
              <w:spacing w:before="0" w:after="0" w:line="240" w:lineRule="auto"/>
              <w:jc w:val="center"/>
              <w:rPr>
                <w:rFonts w:eastAsia="Times New Roman" w:cs="Calibri Light"/>
                <w:b/>
                <w:sz w:val="20"/>
                <w:szCs w:val="20"/>
              </w:rPr>
            </w:pPr>
            <w:r>
              <w:rPr>
                <w:b/>
                <w:sz w:val="20"/>
              </w:rPr>
              <w:t>Multifamily or Mobile Home</w:t>
            </w:r>
            <w:r>
              <w:rPr>
                <w:b/>
                <w:sz w:val="20"/>
              </w:rPr>
              <w:br/>
              <w:t>Flow Rate</w:t>
            </w:r>
            <w:r>
              <w:rPr>
                <w:b/>
                <w:sz w:val="20"/>
              </w:rPr>
              <w:br/>
              <w:t>(</w:t>
            </w:r>
            <w:proofErr w:type="spellStart"/>
            <w:r>
              <w:rPr>
                <w:b/>
                <w:sz w:val="20"/>
              </w:rPr>
              <w:t>gpm</w:t>
            </w:r>
            <w:proofErr w:type="spellEnd"/>
            <w:r>
              <w:rPr>
                <w:b/>
                <w:sz w:val="20"/>
              </w:rPr>
              <w:t>)</w:t>
            </w:r>
          </w:p>
        </w:tc>
        <w:tc>
          <w:tcPr>
            <w:tcW w:w="3456" w:type="dxa"/>
            <w:shd w:val="clear" w:color="auto" w:fill="F2F2F2" w:themeFill="background1" w:themeFillShade="F2"/>
            <w:vAlign w:val="bottom"/>
          </w:tcPr>
          <w:p w14:paraId="59E91B72" w14:textId="176069CD" w:rsidR="00A50E60" w:rsidRDefault="00A50E60" w:rsidP="00A50E60">
            <w:pPr>
              <w:spacing w:before="0" w:after="0" w:line="240" w:lineRule="auto"/>
              <w:jc w:val="center"/>
              <w:rPr>
                <w:rFonts w:eastAsia="Times New Roman" w:cs="Calibri Light"/>
                <w:b/>
                <w:sz w:val="20"/>
                <w:szCs w:val="20"/>
              </w:rPr>
            </w:pPr>
            <w:r>
              <w:rPr>
                <w:rFonts w:eastAsia="Times New Roman" w:cs="Calibri Light"/>
                <w:b/>
                <w:sz w:val="20"/>
                <w:szCs w:val="20"/>
              </w:rPr>
              <w:t>Source</w:t>
            </w:r>
          </w:p>
        </w:tc>
      </w:tr>
      <w:tr w:rsidR="006E5878" w:rsidRPr="006504ED" w14:paraId="64D3A15D" w14:textId="77777777" w:rsidTr="00D124E1">
        <w:trPr>
          <w:trHeight w:val="20"/>
        </w:trPr>
        <w:tc>
          <w:tcPr>
            <w:tcW w:w="2736" w:type="dxa"/>
            <w:shd w:val="clear" w:color="auto" w:fill="auto"/>
            <w:noWrap/>
            <w:vAlign w:val="center"/>
            <w:hideMark/>
          </w:tcPr>
          <w:p w14:paraId="3FF1EC6B" w14:textId="36B526BE" w:rsidR="006E5878" w:rsidRPr="002D723D" w:rsidRDefault="006E5878" w:rsidP="003A561F">
            <w:pPr>
              <w:spacing w:before="0" w:after="0" w:line="240" w:lineRule="auto"/>
              <w:rPr>
                <w:rFonts w:eastAsia="Times New Roman" w:cs="Calibri Light"/>
                <w:sz w:val="20"/>
                <w:szCs w:val="20"/>
              </w:rPr>
            </w:pPr>
            <w:r>
              <w:rPr>
                <w:rFonts w:eastAsia="Times New Roman" w:cs="Calibri Light"/>
                <w:sz w:val="20"/>
                <w:szCs w:val="20"/>
              </w:rPr>
              <w:t>Add-on equipment</w:t>
            </w:r>
          </w:p>
        </w:tc>
        <w:tc>
          <w:tcPr>
            <w:tcW w:w="1350" w:type="dxa"/>
            <w:shd w:val="clear" w:color="auto" w:fill="auto"/>
            <w:noWrap/>
            <w:vAlign w:val="center"/>
          </w:tcPr>
          <w:p w14:paraId="3F07A05C" w14:textId="75F9416D" w:rsidR="006E5878" w:rsidRPr="007D5AD5" w:rsidRDefault="006E5878" w:rsidP="00A50E60">
            <w:pPr>
              <w:spacing w:before="0" w:after="0" w:line="240" w:lineRule="auto"/>
              <w:jc w:val="center"/>
              <w:rPr>
                <w:rFonts w:eastAsia="Times New Roman" w:cs="Calibri Light"/>
                <w:sz w:val="20"/>
                <w:szCs w:val="20"/>
              </w:rPr>
            </w:pPr>
            <w:r w:rsidRPr="007D5AD5">
              <w:rPr>
                <w:rFonts w:eastAsia="Times New Roman" w:cs="Calibri Light"/>
                <w:sz w:val="20"/>
                <w:szCs w:val="20"/>
              </w:rPr>
              <w:t>2.2</w:t>
            </w:r>
          </w:p>
        </w:tc>
        <w:tc>
          <w:tcPr>
            <w:tcW w:w="1440" w:type="dxa"/>
            <w:vAlign w:val="center"/>
          </w:tcPr>
          <w:p w14:paraId="5E19FCC5" w14:textId="1E3F4531" w:rsidR="006E5878" w:rsidRPr="00D50CE5" w:rsidRDefault="006E5878" w:rsidP="00A50E60">
            <w:pPr>
              <w:spacing w:before="0" w:after="0" w:line="240" w:lineRule="auto"/>
              <w:jc w:val="center"/>
              <w:rPr>
                <w:sz w:val="20"/>
                <w:szCs w:val="20"/>
              </w:rPr>
            </w:pPr>
            <w:r w:rsidRPr="00D50CE5">
              <w:rPr>
                <w:sz w:val="20"/>
                <w:szCs w:val="20"/>
              </w:rPr>
              <w:t>2.2</w:t>
            </w:r>
          </w:p>
        </w:tc>
        <w:tc>
          <w:tcPr>
            <w:tcW w:w="3456" w:type="dxa"/>
            <w:vMerge w:val="restart"/>
            <w:vAlign w:val="center"/>
          </w:tcPr>
          <w:p w14:paraId="229FBAF2" w14:textId="1D2B23CE" w:rsidR="006E5878" w:rsidRPr="006E5878" w:rsidRDefault="00E35947" w:rsidP="00E35947">
            <w:pPr>
              <w:spacing w:before="0" w:after="0" w:line="240" w:lineRule="auto"/>
              <w:rPr>
                <w:rFonts w:eastAsia="Times New Roman" w:cs="Calibri Light"/>
                <w:sz w:val="18"/>
                <w:szCs w:val="18"/>
                <w:highlight w:val="yellow"/>
              </w:rPr>
            </w:pPr>
            <w:r w:rsidRPr="00252C37">
              <w:rPr>
                <w:sz w:val="18"/>
              </w:rPr>
              <w:t>Sempra Energy Utilities (SEU). 2012. “</w:t>
            </w:r>
            <w:r>
              <w:rPr>
                <w:sz w:val="18"/>
              </w:rPr>
              <w:t>SEU</w:t>
            </w:r>
            <w:r w:rsidRPr="00252C37">
              <w:rPr>
                <w:sz w:val="18"/>
              </w:rPr>
              <w:t xml:space="preserve"> 2009 ASW Data REDACTED.xlsx”.</w:t>
            </w:r>
          </w:p>
        </w:tc>
      </w:tr>
      <w:tr w:rsidR="006E5878" w:rsidRPr="006504ED" w14:paraId="14DBEB6C" w14:textId="77777777" w:rsidTr="00D124E1">
        <w:trPr>
          <w:trHeight w:val="20"/>
        </w:trPr>
        <w:tc>
          <w:tcPr>
            <w:tcW w:w="2736" w:type="dxa"/>
            <w:shd w:val="clear" w:color="auto" w:fill="auto"/>
            <w:noWrap/>
            <w:vAlign w:val="center"/>
          </w:tcPr>
          <w:p w14:paraId="25E2699E" w14:textId="3A48FF17" w:rsidR="006E5878" w:rsidRPr="002D723D" w:rsidRDefault="006E5878" w:rsidP="006E5878">
            <w:pPr>
              <w:spacing w:before="0" w:after="0" w:line="240" w:lineRule="auto"/>
              <w:rPr>
                <w:rFonts w:eastAsia="Times New Roman" w:cs="Calibri Light"/>
                <w:sz w:val="20"/>
                <w:szCs w:val="20"/>
              </w:rPr>
            </w:pPr>
            <w:r>
              <w:rPr>
                <w:rFonts w:eastAsia="Times New Roman" w:cs="Calibri Light"/>
                <w:sz w:val="20"/>
                <w:szCs w:val="20"/>
              </w:rPr>
              <w:t>Accelerated replacement – 1</w:t>
            </w:r>
            <w:r w:rsidRPr="003813B5">
              <w:rPr>
                <w:rFonts w:eastAsia="Times New Roman" w:cs="Calibri Light"/>
                <w:sz w:val="20"/>
                <w:szCs w:val="20"/>
                <w:vertAlign w:val="superscript"/>
              </w:rPr>
              <w:t>st</w:t>
            </w:r>
            <w:r>
              <w:rPr>
                <w:rFonts w:eastAsia="Times New Roman" w:cs="Calibri Light"/>
                <w:sz w:val="20"/>
                <w:szCs w:val="20"/>
              </w:rPr>
              <w:t xml:space="preserve"> baseline (existing condition)</w:t>
            </w:r>
          </w:p>
        </w:tc>
        <w:tc>
          <w:tcPr>
            <w:tcW w:w="1350" w:type="dxa"/>
            <w:shd w:val="clear" w:color="auto" w:fill="auto"/>
            <w:noWrap/>
            <w:vAlign w:val="center"/>
          </w:tcPr>
          <w:p w14:paraId="79FA9D66" w14:textId="0256AA70" w:rsidR="006E5878" w:rsidRPr="007D5AD5" w:rsidRDefault="006E5878" w:rsidP="006E5878">
            <w:pPr>
              <w:spacing w:before="0" w:after="0" w:line="240" w:lineRule="auto"/>
              <w:jc w:val="center"/>
              <w:rPr>
                <w:rFonts w:eastAsia="Times New Roman" w:cs="Calibri Light"/>
                <w:sz w:val="20"/>
                <w:szCs w:val="20"/>
              </w:rPr>
            </w:pPr>
            <w:r w:rsidRPr="007D5AD5">
              <w:rPr>
                <w:rFonts w:eastAsia="Times New Roman" w:cs="Calibri Light"/>
                <w:sz w:val="20"/>
                <w:szCs w:val="20"/>
              </w:rPr>
              <w:t>2.2</w:t>
            </w:r>
          </w:p>
        </w:tc>
        <w:tc>
          <w:tcPr>
            <w:tcW w:w="1440" w:type="dxa"/>
            <w:vAlign w:val="center"/>
          </w:tcPr>
          <w:p w14:paraId="5D383679" w14:textId="51D54C79" w:rsidR="006E5878" w:rsidRPr="00D50CE5" w:rsidRDefault="006E5878" w:rsidP="006E5878">
            <w:pPr>
              <w:spacing w:before="0" w:after="0" w:line="240" w:lineRule="auto"/>
              <w:jc w:val="center"/>
              <w:rPr>
                <w:sz w:val="20"/>
                <w:szCs w:val="20"/>
              </w:rPr>
            </w:pPr>
            <w:r w:rsidRPr="00D50CE5">
              <w:rPr>
                <w:sz w:val="20"/>
                <w:szCs w:val="20"/>
              </w:rPr>
              <w:t>2.2</w:t>
            </w:r>
          </w:p>
        </w:tc>
        <w:tc>
          <w:tcPr>
            <w:tcW w:w="3456" w:type="dxa"/>
            <w:vMerge/>
            <w:vAlign w:val="center"/>
          </w:tcPr>
          <w:p w14:paraId="1E754B71" w14:textId="3C2DDA39" w:rsidR="006E5878" w:rsidRPr="006504ED" w:rsidRDefault="006E5878" w:rsidP="006E5878">
            <w:pPr>
              <w:spacing w:before="0" w:after="0" w:line="240" w:lineRule="auto"/>
              <w:rPr>
                <w:rFonts w:eastAsia="Times New Roman" w:cs="Calibri Light"/>
                <w:sz w:val="18"/>
                <w:szCs w:val="18"/>
              </w:rPr>
            </w:pPr>
          </w:p>
        </w:tc>
      </w:tr>
      <w:tr w:rsidR="00A50E60" w:rsidRPr="006504ED" w14:paraId="26E3CB9F" w14:textId="77777777" w:rsidTr="00D124E1">
        <w:trPr>
          <w:trHeight w:val="20"/>
        </w:trPr>
        <w:tc>
          <w:tcPr>
            <w:tcW w:w="2736" w:type="dxa"/>
            <w:shd w:val="clear" w:color="auto" w:fill="auto"/>
            <w:noWrap/>
            <w:vAlign w:val="center"/>
          </w:tcPr>
          <w:p w14:paraId="53E338A5" w14:textId="77777777" w:rsidR="00A50E60" w:rsidRDefault="00A50E60" w:rsidP="003A561F">
            <w:pPr>
              <w:spacing w:before="0" w:after="0" w:line="240" w:lineRule="auto"/>
              <w:rPr>
                <w:rFonts w:eastAsia="Times New Roman" w:cs="Calibri Light"/>
                <w:sz w:val="20"/>
                <w:szCs w:val="20"/>
              </w:rPr>
            </w:pPr>
            <w:r>
              <w:rPr>
                <w:rFonts w:eastAsia="Times New Roman" w:cs="Calibri Light"/>
                <w:sz w:val="20"/>
                <w:szCs w:val="20"/>
              </w:rPr>
              <w:t>Accelerated replacement – 2</w:t>
            </w:r>
            <w:r w:rsidRPr="003813B5">
              <w:rPr>
                <w:rFonts w:eastAsia="Times New Roman" w:cs="Calibri Light"/>
                <w:sz w:val="20"/>
                <w:szCs w:val="20"/>
                <w:vertAlign w:val="superscript"/>
              </w:rPr>
              <w:t>nd</w:t>
            </w:r>
            <w:r>
              <w:rPr>
                <w:rFonts w:eastAsia="Times New Roman" w:cs="Calibri Light"/>
                <w:sz w:val="20"/>
                <w:szCs w:val="20"/>
              </w:rPr>
              <w:t xml:space="preserve"> baseline</w:t>
            </w:r>
          </w:p>
        </w:tc>
        <w:tc>
          <w:tcPr>
            <w:tcW w:w="1350" w:type="dxa"/>
            <w:shd w:val="clear" w:color="auto" w:fill="auto"/>
            <w:noWrap/>
            <w:vAlign w:val="center"/>
          </w:tcPr>
          <w:p w14:paraId="4F00E470" w14:textId="7AD564D2" w:rsidR="00A50E60" w:rsidRPr="007D5AD5" w:rsidRDefault="006E5878" w:rsidP="00A50E60">
            <w:pPr>
              <w:spacing w:before="0" w:after="0" w:line="240" w:lineRule="auto"/>
              <w:jc w:val="center"/>
              <w:rPr>
                <w:rFonts w:eastAsia="Times New Roman" w:cs="Calibri Light"/>
                <w:sz w:val="20"/>
                <w:szCs w:val="20"/>
              </w:rPr>
            </w:pPr>
            <w:r w:rsidRPr="007D5AD5">
              <w:rPr>
                <w:rFonts w:eastAsia="Times New Roman" w:cs="Calibri Light"/>
                <w:sz w:val="20"/>
                <w:szCs w:val="20"/>
              </w:rPr>
              <w:t>1.2</w:t>
            </w:r>
          </w:p>
        </w:tc>
        <w:tc>
          <w:tcPr>
            <w:tcW w:w="1440" w:type="dxa"/>
            <w:vAlign w:val="center"/>
          </w:tcPr>
          <w:p w14:paraId="0A754FDC" w14:textId="6D3E0355" w:rsidR="00A50E60" w:rsidRPr="00D50CE5" w:rsidRDefault="006E5878" w:rsidP="00A50E60">
            <w:pPr>
              <w:spacing w:before="0" w:after="0" w:line="240" w:lineRule="auto"/>
              <w:jc w:val="center"/>
              <w:rPr>
                <w:sz w:val="20"/>
                <w:szCs w:val="20"/>
              </w:rPr>
            </w:pPr>
            <w:r w:rsidRPr="00D50CE5">
              <w:rPr>
                <w:sz w:val="20"/>
                <w:szCs w:val="20"/>
              </w:rPr>
              <w:t>1.2</w:t>
            </w:r>
          </w:p>
        </w:tc>
        <w:tc>
          <w:tcPr>
            <w:tcW w:w="3456" w:type="dxa"/>
            <w:vAlign w:val="center"/>
          </w:tcPr>
          <w:p w14:paraId="70487600" w14:textId="03F3D8EF" w:rsidR="00A50E60" w:rsidRPr="006E5878" w:rsidRDefault="00A50E60" w:rsidP="003A561F">
            <w:pPr>
              <w:spacing w:before="0" w:after="0" w:line="240" w:lineRule="auto"/>
              <w:rPr>
                <w:rFonts w:eastAsia="Times New Roman" w:cs="Times New Roman"/>
                <w:color w:val="000000"/>
                <w:sz w:val="18"/>
                <w:szCs w:val="18"/>
              </w:rPr>
            </w:pPr>
            <w:r w:rsidRPr="006E5878">
              <w:rPr>
                <w:rStyle w:val="eTRMFootnoteTextChar"/>
              </w:rPr>
              <w:t>California Energy Commission (CEC). 2017</w:t>
            </w:r>
            <w:r w:rsidRPr="006E5878">
              <w:rPr>
                <w:rStyle w:val="eTRMFootnoteTextChar"/>
                <w:i/>
              </w:rPr>
              <w:t>. 2016 Appliance Efficiency Regulations.</w:t>
            </w:r>
            <w:r w:rsidRPr="006E5878">
              <w:rPr>
                <w:rStyle w:val="eTRMFootnoteTextChar"/>
              </w:rPr>
              <w:t xml:space="preserve"> CEC-400-2017-002. Section 1605.3(h). Table H-3.</w:t>
            </w:r>
          </w:p>
        </w:tc>
      </w:tr>
    </w:tbl>
    <w:p w14:paraId="37EC0676" w14:textId="1FC8103E" w:rsidR="00A50E60" w:rsidRDefault="00A50E60" w:rsidP="00A50E60">
      <w:pPr>
        <w:pStyle w:val="Caption"/>
        <w:rPr>
          <w:rFonts w:cs="Calibri Light"/>
        </w:rPr>
      </w:pPr>
      <w:r>
        <w:t>Base Case Specification - Kitchen Sink</w:t>
      </w:r>
    </w:p>
    <w:tbl>
      <w:tblPr>
        <w:tblW w:w="898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36"/>
        <w:gridCol w:w="1350"/>
        <w:gridCol w:w="1440"/>
        <w:gridCol w:w="3456"/>
      </w:tblGrid>
      <w:tr w:rsidR="00A50E60" w:rsidRPr="002D723D" w14:paraId="0BD35A29" w14:textId="77777777" w:rsidTr="006F5A41">
        <w:trPr>
          <w:trHeight w:val="20"/>
          <w:tblHeader/>
        </w:trPr>
        <w:tc>
          <w:tcPr>
            <w:tcW w:w="2736" w:type="dxa"/>
            <w:shd w:val="clear" w:color="auto" w:fill="F2F2F2" w:themeFill="background1" w:themeFillShade="F2"/>
            <w:noWrap/>
            <w:vAlign w:val="bottom"/>
          </w:tcPr>
          <w:p w14:paraId="74C0A698" w14:textId="77777777" w:rsidR="00A50E60" w:rsidRDefault="00A50E60" w:rsidP="003A561F">
            <w:pPr>
              <w:spacing w:before="0" w:after="0" w:line="240" w:lineRule="auto"/>
              <w:rPr>
                <w:rFonts w:eastAsia="Times New Roman" w:cs="Calibri Light"/>
                <w:b/>
                <w:sz w:val="20"/>
                <w:szCs w:val="20"/>
              </w:rPr>
            </w:pPr>
            <w:r>
              <w:rPr>
                <w:rFonts w:eastAsia="Times New Roman" w:cs="Calibri Light"/>
                <w:b/>
                <w:sz w:val="20"/>
                <w:szCs w:val="20"/>
              </w:rPr>
              <w:t>Installation Type</w:t>
            </w:r>
          </w:p>
        </w:tc>
        <w:tc>
          <w:tcPr>
            <w:tcW w:w="1350" w:type="dxa"/>
            <w:shd w:val="clear" w:color="auto" w:fill="F2F2F2" w:themeFill="background1" w:themeFillShade="F2"/>
            <w:noWrap/>
            <w:vAlign w:val="bottom"/>
          </w:tcPr>
          <w:p w14:paraId="1DC416B2" w14:textId="77777777" w:rsidR="00A50E60" w:rsidRDefault="00A50E60" w:rsidP="003A561F">
            <w:pPr>
              <w:spacing w:before="0" w:after="0" w:line="240" w:lineRule="auto"/>
              <w:jc w:val="center"/>
              <w:rPr>
                <w:rFonts w:eastAsia="Times New Roman" w:cs="Calibri Light"/>
                <w:b/>
                <w:sz w:val="20"/>
                <w:szCs w:val="20"/>
              </w:rPr>
            </w:pPr>
            <w:r>
              <w:rPr>
                <w:b/>
                <w:sz w:val="20"/>
              </w:rPr>
              <w:t>Single Family</w:t>
            </w:r>
            <w:r>
              <w:rPr>
                <w:b/>
                <w:sz w:val="20"/>
              </w:rPr>
              <w:br/>
            </w:r>
            <w:r w:rsidRPr="00EB744C">
              <w:rPr>
                <w:b/>
                <w:sz w:val="20"/>
              </w:rPr>
              <w:t xml:space="preserve">Flow Rate </w:t>
            </w:r>
            <w:r>
              <w:rPr>
                <w:b/>
                <w:sz w:val="20"/>
              </w:rPr>
              <w:br/>
            </w:r>
            <w:r w:rsidRPr="00EB744C">
              <w:rPr>
                <w:b/>
                <w:sz w:val="20"/>
              </w:rPr>
              <w:t>(</w:t>
            </w:r>
            <w:proofErr w:type="spellStart"/>
            <w:r w:rsidRPr="00EB744C">
              <w:rPr>
                <w:b/>
                <w:sz w:val="20"/>
              </w:rPr>
              <w:t>gpm</w:t>
            </w:r>
            <w:proofErr w:type="spellEnd"/>
            <w:r w:rsidRPr="00EB744C">
              <w:rPr>
                <w:b/>
                <w:sz w:val="20"/>
              </w:rPr>
              <w:t>)</w:t>
            </w:r>
          </w:p>
        </w:tc>
        <w:tc>
          <w:tcPr>
            <w:tcW w:w="1440" w:type="dxa"/>
            <w:shd w:val="clear" w:color="auto" w:fill="F2F2F2" w:themeFill="background1" w:themeFillShade="F2"/>
            <w:vAlign w:val="bottom"/>
          </w:tcPr>
          <w:p w14:paraId="06A77FB6" w14:textId="77777777" w:rsidR="00A50E60" w:rsidRDefault="00A50E60" w:rsidP="003A561F">
            <w:pPr>
              <w:spacing w:before="0" w:after="0" w:line="240" w:lineRule="auto"/>
              <w:jc w:val="center"/>
              <w:rPr>
                <w:rFonts w:eastAsia="Times New Roman" w:cs="Calibri Light"/>
                <w:b/>
                <w:sz w:val="20"/>
                <w:szCs w:val="20"/>
              </w:rPr>
            </w:pPr>
            <w:r>
              <w:rPr>
                <w:b/>
                <w:sz w:val="20"/>
              </w:rPr>
              <w:t>Multifamily or Mobile Home</w:t>
            </w:r>
            <w:r>
              <w:rPr>
                <w:b/>
                <w:sz w:val="20"/>
              </w:rPr>
              <w:br/>
              <w:t>Flow Rate</w:t>
            </w:r>
            <w:r>
              <w:rPr>
                <w:b/>
                <w:sz w:val="20"/>
              </w:rPr>
              <w:br/>
              <w:t>(</w:t>
            </w:r>
            <w:proofErr w:type="spellStart"/>
            <w:r>
              <w:rPr>
                <w:b/>
                <w:sz w:val="20"/>
              </w:rPr>
              <w:t>gpm</w:t>
            </w:r>
            <w:proofErr w:type="spellEnd"/>
            <w:r>
              <w:rPr>
                <w:b/>
                <w:sz w:val="20"/>
              </w:rPr>
              <w:t>)</w:t>
            </w:r>
          </w:p>
        </w:tc>
        <w:tc>
          <w:tcPr>
            <w:tcW w:w="3456" w:type="dxa"/>
            <w:shd w:val="clear" w:color="auto" w:fill="F2F2F2" w:themeFill="background1" w:themeFillShade="F2"/>
            <w:vAlign w:val="bottom"/>
          </w:tcPr>
          <w:p w14:paraId="62DB22CF" w14:textId="77777777" w:rsidR="00A50E60" w:rsidRDefault="00A50E60" w:rsidP="003A561F">
            <w:pPr>
              <w:spacing w:before="0" w:after="0" w:line="240" w:lineRule="auto"/>
              <w:jc w:val="center"/>
              <w:rPr>
                <w:rFonts w:eastAsia="Times New Roman" w:cs="Calibri Light"/>
                <w:b/>
                <w:sz w:val="20"/>
                <w:szCs w:val="20"/>
              </w:rPr>
            </w:pPr>
            <w:r>
              <w:rPr>
                <w:rFonts w:eastAsia="Times New Roman" w:cs="Calibri Light"/>
                <w:b/>
                <w:sz w:val="20"/>
                <w:szCs w:val="20"/>
              </w:rPr>
              <w:t>Source</w:t>
            </w:r>
          </w:p>
        </w:tc>
      </w:tr>
      <w:tr w:rsidR="006E5878" w:rsidRPr="006504ED" w14:paraId="3D269FE9" w14:textId="77777777" w:rsidTr="006F5A41">
        <w:trPr>
          <w:trHeight w:val="20"/>
        </w:trPr>
        <w:tc>
          <w:tcPr>
            <w:tcW w:w="2736" w:type="dxa"/>
            <w:shd w:val="clear" w:color="auto" w:fill="auto"/>
            <w:noWrap/>
            <w:vAlign w:val="center"/>
            <w:hideMark/>
          </w:tcPr>
          <w:p w14:paraId="46368D24" w14:textId="63D40B67" w:rsidR="006E5878" w:rsidRPr="002D723D" w:rsidRDefault="006E5878" w:rsidP="006E5878">
            <w:pPr>
              <w:spacing w:before="0" w:after="0" w:line="240" w:lineRule="auto"/>
              <w:rPr>
                <w:rFonts w:eastAsia="Times New Roman" w:cs="Calibri Light"/>
                <w:sz w:val="20"/>
                <w:szCs w:val="20"/>
              </w:rPr>
            </w:pPr>
            <w:r>
              <w:rPr>
                <w:rFonts w:eastAsia="Times New Roman" w:cs="Calibri Light"/>
                <w:sz w:val="20"/>
                <w:szCs w:val="20"/>
              </w:rPr>
              <w:t>Add-on equipment</w:t>
            </w:r>
          </w:p>
        </w:tc>
        <w:tc>
          <w:tcPr>
            <w:tcW w:w="1350" w:type="dxa"/>
            <w:shd w:val="clear" w:color="auto" w:fill="auto"/>
            <w:noWrap/>
            <w:vAlign w:val="center"/>
          </w:tcPr>
          <w:p w14:paraId="35D18B66" w14:textId="0EBBD73B" w:rsidR="006E5878" w:rsidRPr="007D5AD5" w:rsidRDefault="006E5878" w:rsidP="006E5878">
            <w:pPr>
              <w:spacing w:before="0" w:after="0" w:line="240" w:lineRule="auto"/>
              <w:jc w:val="center"/>
              <w:rPr>
                <w:rFonts w:eastAsia="Times New Roman" w:cs="Calibri Light"/>
                <w:sz w:val="20"/>
                <w:szCs w:val="20"/>
              </w:rPr>
            </w:pPr>
            <w:r w:rsidRPr="007D5AD5">
              <w:rPr>
                <w:rFonts w:eastAsia="Times New Roman" w:cs="Calibri Light"/>
                <w:sz w:val="20"/>
                <w:szCs w:val="20"/>
              </w:rPr>
              <w:t>2.2</w:t>
            </w:r>
          </w:p>
        </w:tc>
        <w:tc>
          <w:tcPr>
            <w:tcW w:w="1440" w:type="dxa"/>
            <w:vAlign w:val="center"/>
          </w:tcPr>
          <w:p w14:paraId="42DDA26B" w14:textId="573C9F2A" w:rsidR="006E5878" w:rsidRPr="00D50CE5" w:rsidRDefault="006E5878" w:rsidP="006E5878">
            <w:pPr>
              <w:spacing w:before="0" w:after="0" w:line="240" w:lineRule="auto"/>
              <w:jc w:val="center"/>
              <w:rPr>
                <w:sz w:val="20"/>
                <w:szCs w:val="20"/>
              </w:rPr>
            </w:pPr>
            <w:r w:rsidRPr="00D50CE5">
              <w:rPr>
                <w:sz w:val="20"/>
                <w:szCs w:val="20"/>
              </w:rPr>
              <w:t>2.2</w:t>
            </w:r>
          </w:p>
        </w:tc>
        <w:tc>
          <w:tcPr>
            <w:tcW w:w="3456" w:type="dxa"/>
            <w:vMerge w:val="restart"/>
            <w:vAlign w:val="center"/>
          </w:tcPr>
          <w:p w14:paraId="4BACBEF5" w14:textId="4E0E7F01" w:rsidR="006E5878" w:rsidRPr="00E35947" w:rsidRDefault="00E35947" w:rsidP="006E5878">
            <w:pPr>
              <w:spacing w:before="0" w:after="0" w:line="240" w:lineRule="auto"/>
              <w:rPr>
                <w:sz w:val="18"/>
                <w:szCs w:val="18"/>
              </w:rPr>
            </w:pPr>
            <w:r w:rsidRPr="00252C37">
              <w:rPr>
                <w:sz w:val="18"/>
              </w:rPr>
              <w:t>Sempra Energy Utilities (SEU). 2012. “</w:t>
            </w:r>
            <w:r>
              <w:rPr>
                <w:sz w:val="18"/>
              </w:rPr>
              <w:t>SEU</w:t>
            </w:r>
            <w:r w:rsidRPr="00252C37">
              <w:rPr>
                <w:sz w:val="18"/>
              </w:rPr>
              <w:t xml:space="preserve"> 2009 ASW Data REDACTED.xlsx”.</w:t>
            </w:r>
          </w:p>
        </w:tc>
      </w:tr>
      <w:tr w:rsidR="006E5878" w:rsidRPr="006504ED" w14:paraId="6801DAA7" w14:textId="77777777" w:rsidTr="006F5A41">
        <w:trPr>
          <w:trHeight w:val="20"/>
        </w:trPr>
        <w:tc>
          <w:tcPr>
            <w:tcW w:w="2736" w:type="dxa"/>
            <w:shd w:val="clear" w:color="auto" w:fill="auto"/>
            <w:noWrap/>
            <w:vAlign w:val="center"/>
          </w:tcPr>
          <w:p w14:paraId="0DD17E7F" w14:textId="02D094DF" w:rsidR="006E5878" w:rsidRPr="002D723D" w:rsidRDefault="006E5878" w:rsidP="006E5878">
            <w:pPr>
              <w:spacing w:before="0" w:after="0" w:line="240" w:lineRule="auto"/>
              <w:rPr>
                <w:rFonts w:eastAsia="Times New Roman" w:cs="Calibri Light"/>
                <w:sz w:val="20"/>
                <w:szCs w:val="20"/>
              </w:rPr>
            </w:pPr>
            <w:r>
              <w:rPr>
                <w:rFonts w:eastAsia="Times New Roman" w:cs="Calibri Light"/>
                <w:sz w:val="20"/>
                <w:szCs w:val="20"/>
              </w:rPr>
              <w:t xml:space="preserve">Accelerated replacement – </w:t>
            </w:r>
            <w:r w:rsidR="00D124E1">
              <w:rPr>
                <w:rFonts w:eastAsia="Times New Roman" w:cs="Calibri Light"/>
                <w:sz w:val="20"/>
                <w:szCs w:val="20"/>
              </w:rPr>
              <w:br/>
            </w:r>
            <w:r>
              <w:rPr>
                <w:rFonts w:eastAsia="Times New Roman" w:cs="Calibri Light"/>
                <w:sz w:val="20"/>
                <w:szCs w:val="20"/>
              </w:rPr>
              <w:t>1</w:t>
            </w:r>
            <w:r w:rsidRPr="003813B5">
              <w:rPr>
                <w:rFonts w:eastAsia="Times New Roman" w:cs="Calibri Light"/>
                <w:sz w:val="20"/>
                <w:szCs w:val="20"/>
                <w:vertAlign w:val="superscript"/>
              </w:rPr>
              <w:t>st</w:t>
            </w:r>
            <w:r>
              <w:rPr>
                <w:rFonts w:eastAsia="Times New Roman" w:cs="Calibri Light"/>
                <w:sz w:val="20"/>
                <w:szCs w:val="20"/>
              </w:rPr>
              <w:t xml:space="preserve"> baseline (existing condition)</w:t>
            </w:r>
          </w:p>
        </w:tc>
        <w:tc>
          <w:tcPr>
            <w:tcW w:w="1350" w:type="dxa"/>
            <w:shd w:val="clear" w:color="auto" w:fill="auto"/>
            <w:noWrap/>
            <w:vAlign w:val="center"/>
          </w:tcPr>
          <w:p w14:paraId="38EE813D" w14:textId="0B12BD08" w:rsidR="006E5878" w:rsidRPr="007D5AD5" w:rsidRDefault="006E5878" w:rsidP="006E5878">
            <w:pPr>
              <w:spacing w:before="0" w:after="0" w:line="240" w:lineRule="auto"/>
              <w:jc w:val="center"/>
              <w:rPr>
                <w:rFonts w:eastAsia="Times New Roman" w:cs="Calibri Light"/>
                <w:sz w:val="20"/>
                <w:szCs w:val="20"/>
              </w:rPr>
            </w:pPr>
            <w:r w:rsidRPr="007D5AD5">
              <w:rPr>
                <w:rFonts w:eastAsia="Times New Roman" w:cs="Calibri Light"/>
                <w:sz w:val="20"/>
                <w:szCs w:val="20"/>
              </w:rPr>
              <w:t>2.2</w:t>
            </w:r>
          </w:p>
        </w:tc>
        <w:tc>
          <w:tcPr>
            <w:tcW w:w="1440" w:type="dxa"/>
            <w:vAlign w:val="center"/>
          </w:tcPr>
          <w:p w14:paraId="30E0D65B" w14:textId="68EA9839" w:rsidR="006E5878" w:rsidRPr="00D50CE5" w:rsidRDefault="006E5878" w:rsidP="006E5878">
            <w:pPr>
              <w:spacing w:before="0" w:after="0" w:line="240" w:lineRule="auto"/>
              <w:jc w:val="center"/>
              <w:rPr>
                <w:sz w:val="20"/>
                <w:szCs w:val="20"/>
              </w:rPr>
            </w:pPr>
            <w:r w:rsidRPr="00D50CE5">
              <w:rPr>
                <w:sz w:val="20"/>
                <w:szCs w:val="20"/>
              </w:rPr>
              <w:t>2.2</w:t>
            </w:r>
          </w:p>
        </w:tc>
        <w:tc>
          <w:tcPr>
            <w:tcW w:w="3456" w:type="dxa"/>
            <w:vMerge/>
            <w:vAlign w:val="center"/>
          </w:tcPr>
          <w:p w14:paraId="3C8C28B1" w14:textId="461997E5" w:rsidR="006E5878" w:rsidRPr="006504ED" w:rsidRDefault="006E5878" w:rsidP="006E5878">
            <w:pPr>
              <w:spacing w:before="0" w:after="0" w:line="240" w:lineRule="auto"/>
              <w:rPr>
                <w:rFonts w:eastAsia="Times New Roman" w:cs="Calibri Light"/>
                <w:sz w:val="18"/>
                <w:szCs w:val="18"/>
              </w:rPr>
            </w:pPr>
          </w:p>
        </w:tc>
      </w:tr>
      <w:tr w:rsidR="00A50E60" w:rsidRPr="006504ED" w14:paraId="122B432D" w14:textId="77777777" w:rsidTr="006F5A41">
        <w:trPr>
          <w:trHeight w:val="20"/>
        </w:trPr>
        <w:tc>
          <w:tcPr>
            <w:tcW w:w="2736" w:type="dxa"/>
            <w:shd w:val="clear" w:color="auto" w:fill="auto"/>
            <w:noWrap/>
            <w:vAlign w:val="center"/>
          </w:tcPr>
          <w:p w14:paraId="2A2E1608" w14:textId="16EBF1A0" w:rsidR="00A50E60" w:rsidRDefault="00A50E60" w:rsidP="003A561F">
            <w:pPr>
              <w:spacing w:before="0" w:after="0" w:line="240" w:lineRule="auto"/>
              <w:rPr>
                <w:rFonts w:eastAsia="Times New Roman" w:cs="Calibri Light"/>
                <w:sz w:val="20"/>
                <w:szCs w:val="20"/>
              </w:rPr>
            </w:pPr>
            <w:r>
              <w:rPr>
                <w:rFonts w:eastAsia="Times New Roman" w:cs="Calibri Light"/>
                <w:sz w:val="20"/>
                <w:szCs w:val="20"/>
              </w:rPr>
              <w:t xml:space="preserve">Accelerated replacement – </w:t>
            </w:r>
            <w:r w:rsidR="00D124E1">
              <w:rPr>
                <w:rFonts w:eastAsia="Times New Roman" w:cs="Calibri Light"/>
                <w:sz w:val="20"/>
                <w:szCs w:val="20"/>
              </w:rPr>
              <w:br/>
            </w:r>
            <w:r>
              <w:rPr>
                <w:rFonts w:eastAsia="Times New Roman" w:cs="Calibri Light"/>
                <w:sz w:val="20"/>
                <w:szCs w:val="20"/>
              </w:rPr>
              <w:t>2</w:t>
            </w:r>
            <w:r w:rsidRPr="003813B5">
              <w:rPr>
                <w:rFonts w:eastAsia="Times New Roman" w:cs="Calibri Light"/>
                <w:sz w:val="20"/>
                <w:szCs w:val="20"/>
                <w:vertAlign w:val="superscript"/>
              </w:rPr>
              <w:t>nd</w:t>
            </w:r>
            <w:r>
              <w:rPr>
                <w:rFonts w:eastAsia="Times New Roman" w:cs="Calibri Light"/>
                <w:sz w:val="20"/>
                <w:szCs w:val="20"/>
              </w:rPr>
              <w:t xml:space="preserve"> baseline</w:t>
            </w:r>
          </w:p>
        </w:tc>
        <w:tc>
          <w:tcPr>
            <w:tcW w:w="1350" w:type="dxa"/>
            <w:shd w:val="clear" w:color="auto" w:fill="auto"/>
            <w:noWrap/>
            <w:vAlign w:val="center"/>
          </w:tcPr>
          <w:p w14:paraId="450FF0D2" w14:textId="42B60E45" w:rsidR="00A50E60" w:rsidRPr="007D5AD5" w:rsidRDefault="006E5878" w:rsidP="00A50E60">
            <w:pPr>
              <w:spacing w:before="0" w:after="0" w:line="240" w:lineRule="auto"/>
              <w:jc w:val="center"/>
              <w:rPr>
                <w:rFonts w:eastAsia="Times New Roman" w:cs="Calibri Light"/>
                <w:sz w:val="20"/>
                <w:szCs w:val="20"/>
              </w:rPr>
            </w:pPr>
            <w:r w:rsidRPr="007D5AD5">
              <w:rPr>
                <w:rFonts w:eastAsia="Times New Roman" w:cs="Calibri Light"/>
                <w:sz w:val="20"/>
                <w:szCs w:val="20"/>
              </w:rPr>
              <w:t>1.8</w:t>
            </w:r>
          </w:p>
        </w:tc>
        <w:tc>
          <w:tcPr>
            <w:tcW w:w="1440" w:type="dxa"/>
            <w:vAlign w:val="center"/>
          </w:tcPr>
          <w:p w14:paraId="0F967FCF" w14:textId="106AB7AE" w:rsidR="00A50E60" w:rsidRPr="00D50CE5" w:rsidRDefault="006E5878" w:rsidP="00A50E60">
            <w:pPr>
              <w:spacing w:before="0" w:after="0" w:line="240" w:lineRule="auto"/>
              <w:jc w:val="center"/>
              <w:rPr>
                <w:sz w:val="20"/>
                <w:szCs w:val="20"/>
              </w:rPr>
            </w:pPr>
            <w:r w:rsidRPr="00D50CE5">
              <w:rPr>
                <w:sz w:val="20"/>
                <w:szCs w:val="20"/>
              </w:rPr>
              <w:t>1.8</w:t>
            </w:r>
          </w:p>
        </w:tc>
        <w:tc>
          <w:tcPr>
            <w:tcW w:w="3456" w:type="dxa"/>
            <w:vAlign w:val="center"/>
          </w:tcPr>
          <w:p w14:paraId="1BB1E1AC" w14:textId="2C7857AB" w:rsidR="00A50E60" w:rsidRPr="006504ED" w:rsidRDefault="00A50E60" w:rsidP="003A561F">
            <w:pPr>
              <w:spacing w:before="0" w:after="0" w:line="240" w:lineRule="auto"/>
              <w:rPr>
                <w:rFonts w:eastAsia="Times New Roman" w:cs="Times New Roman"/>
                <w:color w:val="000000"/>
                <w:sz w:val="18"/>
                <w:szCs w:val="18"/>
                <w:highlight w:val="yellow"/>
              </w:rPr>
            </w:pPr>
            <w:r w:rsidRPr="007403A0">
              <w:rPr>
                <w:rStyle w:val="eTRMFootnoteTextChar"/>
              </w:rPr>
              <w:t>California Energy Commission (CEC). 2017</w:t>
            </w:r>
            <w:r w:rsidRPr="007403A0">
              <w:rPr>
                <w:rStyle w:val="eTRMFootnoteTextChar"/>
                <w:i/>
              </w:rPr>
              <w:t>. 2016 Appliance Efficiency Regulations.</w:t>
            </w:r>
            <w:r w:rsidRPr="007403A0">
              <w:rPr>
                <w:rStyle w:val="eTRMFootnoteTextChar"/>
              </w:rPr>
              <w:t xml:space="preserve"> CEC-400-2017-002. Section 1605.3(h). Table H-3.</w:t>
            </w:r>
          </w:p>
        </w:tc>
      </w:tr>
    </w:tbl>
    <w:p w14:paraId="6FE6F98E" w14:textId="77777777" w:rsidR="00DF2680" w:rsidRPr="002942B0" w:rsidRDefault="00DF2680" w:rsidP="002942B0"/>
    <w:p w14:paraId="7D9DA4A6" w14:textId="77777777" w:rsidR="007D230B" w:rsidRPr="00171BB8" w:rsidRDefault="007D230B" w:rsidP="004F705B">
      <w:pPr>
        <w:pStyle w:val="eTRMHeading3"/>
      </w:pPr>
      <w:bookmarkStart w:id="23" w:name="_Toc486490850"/>
      <w:bookmarkStart w:id="24" w:name="_Toc486580921"/>
      <w:bookmarkStart w:id="25" w:name="_Toc12567162"/>
      <w:r w:rsidRPr="004B06E3">
        <w:t>Code Requirements</w:t>
      </w:r>
      <w:bookmarkEnd w:id="23"/>
      <w:bookmarkEnd w:id="24"/>
      <w:bookmarkEnd w:id="25"/>
    </w:p>
    <w:p w14:paraId="77B15D50" w14:textId="6DE715BF" w:rsidR="007D230B" w:rsidRDefault="00597149" w:rsidP="004D41F7">
      <w:r>
        <w:t>This measure is governed by the California Appliance Efficiency Regulations (Title 20)</w:t>
      </w:r>
      <w:r w:rsidR="007403A0">
        <w:rPr>
          <w:rStyle w:val="FootnoteReference"/>
        </w:rPr>
        <w:footnoteReference w:id="3"/>
      </w:r>
      <w:r>
        <w:t xml:space="preserve"> standards, which stipulates the maximum flow rate</w:t>
      </w:r>
      <w:r w:rsidR="00EB45A3">
        <w:t>s for kitchen and lavatory faucets</w:t>
      </w:r>
      <w:r>
        <w:t>.</w:t>
      </w:r>
      <w:r w:rsidR="004D41F7">
        <w:t xml:space="preserve"> </w:t>
      </w:r>
    </w:p>
    <w:p w14:paraId="7E96141F" w14:textId="1819FCC1" w:rsidR="00FD2C54" w:rsidRDefault="006E593D" w:rsidP="003A561F">
      <w:pPr>
        <w:pStyle w:val="Caption"/>
        <w:keepNext w:val="0"/>
        <w:keepLines w:val="0"/>
      </w:pPr>
      <w:r>
        <w:t xml:space="preserve">Prior </w:t>
      </w:r>
      <w:r w:rsidR="00FD2C54">
        <w:t xml:space="preserve">Applicable State and Federal </w:t>
      </w:r>
      <w:r w:rsidR="00FD2C54" w:rsidRPr="00CD6698">
        <w:t>Code</w:t>
      </w:r>
      <w:r w:rsidR="00FD2C54">
        <w:t>s and Standards</w:t>
      </w:r>
      <w:r w:rsidR="00FD2C54" w:rsidRPr="002C39E3">
        <w:t xml:space="preserve"> </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95"/>
        <w:gridCol w:w="2548"/>
        <w:gridCol w:w="2402"/>
      </w:tblGrid>
      <w:tr w:rsidR="00FD2C54" w:rsidRPr="00154391" w14:paraId="4623D54B" w14:textId="77777777" w:rsidTr="00D124E1">
        <w:trPr>
          <w:trHeight w:val="20"/>
        </w:trPr>
        <w:tc>
          <w:tcPr>
            <w:tcW w:w="4495" w:type="dxa"/>
            <w:shd w:val="clear" w:color="auto" w:fill="F2F2F2" w:themeFill="background1" w:themeFillShade="F2"/>
            <w:vAlign w:val="bottom"/>
          </w:tcPr>
          <w:p w14:paraId="5E8EE0C5" w14:textId="77777777" w:rsidR="00FD2C54" w:rsidRPr="00154391" w:rsidRDefault="00FD2C54" w:rsidP="003A561F">
            <w:pPr>
              <w:spacing w:before="0" w:after="0"/>
              <w:rPr>
                <w:b/>
                <w:sz w:val="20"/>
                <w:szCs w:val="20"/>
              </w:rPr>
            </w:pPr>
            <w:r w:rsidRPr="0079498E">
              <w:rPr>
                <w:b/>
                <w:sz w:val="20"/>
              </w:rPr>
              <w:t>Code</w:t>
            </w:r>
          </w:p>
        </w:tc>
        <w:tc>
          <w:tcPr>
            <w:tcW w:w="2548" w:type="dxa"/>
            <w:shd w:val="clear" w:color="auto" w:fill="F2F2F2" w:themeFill="background1" w:themeFillShade="F2"/>
            <w:vAlign w:val="bottom"/>
          </w:tcPr>
          <w:p w14:paraId="2A51DAFB" w14:textId="77777777" w:rsidR="00FD2C54" w:rsidRPr="00154391" w:rsidRDefault="00FD2C54" w:rsidP="003A561F">
            <w:pPr>
              <w:spacing w:before="0" w:after="0"/>
              <w:jc w:val="center"/>
              <w:rPr>
                <w:b/>
                <w:sz w:val="20"/>
                <w:szCs w:val="20"/>
              </w:rPr>
            </w:pPr>
            <w:r w:rsidRPr="0079498E">
              <w:rPr>
                <w:b/>
                <w:sz w:val="20"/>
              </w:rPr>
              <w:t>Applicable Code Reference</w:t>
            </w:r>
          </w:p>
        </w:tc>
        <w:tc>
          <w:tcPr>
            <w:tcW w:w="2402" w:type="dxa"/>
            <w:shd w:val="clear" w:color="auto" w:fill="F2F2F2" w:themeFill="background1" w:themeFillShade="F2"/>
            <w:vAlign w:val="bottom"/>
          </w:tcPr>
          <w:p w14:paraId="214A9ADD" w14:textId="77777777" w:rsidR="00FD2C54" w:rsidRPr="00154391" w:rsidRDefault="00FD2C54" w:rsidP="003A561F">
            <w:pPr>
              <w:spacing w:before="0" w:after="0"/>
              <w:jc w:val="center"/>
              <w:rPr>
                <w:b/>
                <w:sz w:val="20"/>
                <w:szCs w:val="20"/>
              </w:rPr>
            </w:pPr>
            <w:r w:rsidRPr="0079498E">
              <w:rPr>
                <w:b/>
                <w:sz w:val="20"/>
              </w:rPr>
              <w:t>Effective Date</w:t>
            </w:r>
          </w:p>
        </w:tc>
      </w:tr>
      <w:tr w:rsidR="00FD2C54" w:rsidRPr="00FB030E" w14:paraId="782F7264" w14:textId="77777777" w:rsidTr="00D124E1">
        <w:trPr>
          <w:trHeight w:val="20"/>
        </w:trPr>
        <w:tc>
          <w:tcPr>
            <w:tcW w:w="4495" w:type="dxa"/>
            <w:shd w:val="clear" w:color="auto" w:fill="auto"/>
            <w:vAlign w:val="center"/>
          </w:tcPr>
          <w:p w14:paraId="67BA833F" w14:textId="63EEF66E" w:rsidR="00FD2C54" w:rsidRPr="00BD6838" w:rsidRDefault="00FD2C54" w:rsidP="003A561F">
            <w:pPr>
              <w:spacing w:before="0" w:after="0"/>
              <w:rPr>
                <w:sz w:val="20"/>
                <w:szCs w:val="20"/>
              </w:rPr>
            </w:pPr>
            <w:r w:rsidRPr="00BD6838">
              <w:rPr>
                <w:sz w:val="20"/>
              </w:rPr>
              <w:t xml:space="preserve">CA Appliance Efficiency Regulations – Title 20 </w:t>
            </w:r>
            <w:r w:rsidR="005C1CAA">
              <w:rPr>
                <w:sz w:val="20"/>
              </w:rPr>
              <w:t>(2016)</w:t>
            </w:r>
          </w:p>
        </w:tc>
        <w:tc>
          <w:tcPr>
            <w:tcW w:w="2548" w:type="dxa"/>
            <w:shd w:val="clear" w:color="auto" w:fill="auto"/>
            <w:vAlign w:val="center"/>
          </w:tcPr>
          <w:p w14:paraId="794A0264" w14:textId="52B7E5A5" w:rsidR="00FD2C54" w:rsidRPr="005C1CAA" w:rsidRDefault="005C1CAA" w:rsidP="003A561F">
            <w:pPr>
              <w:spacing w:before="0" w:after="0"/>
              <w:rPr>
                <w:rFonts w:cs="Calibri Light"/>
                <w:sz w:val="20"/>
                <w:szCs w:val="20"/>
              </w:rPr>
            </w:pPr>
            <w:r w:rsidRPr="005C1CAA">
              <w:rPr>
                <w:rFonts w:cs="Calibri Light"/>
                <w:sz w:val="20"/>
                <w:szCs w:val="20"/>
              </w:rPr>
              <w:t xml:space="preserve">Section </w:t>
            </w:r>
            <w:r w:rsidR="00597149" w:rsidRPr="005C1CAA">
              <w:rPr>
                <w:rFonts w:eastAsia="PalatinoLinotype-Roman" w:cs="Calibri Light"/>
                <w:sz w:val="20"/>
                <w:szCs w:val="20"/>
              </w:rPr>
              <w:t xml:space="preserve">1605.3(h) </w:t>
            </w:r>
            <w:r>
              <w:rPr>
                <w:rFonts w:eastAsia="PalatinoLinotype-Roman" w:cs="Calibri Light"/>
                <w:sz w:val="20"/>
                <w:szCs w:val="20"/>
              </w:rPr>
              <w:t>T</w:t>
            </w:r>
            <w:r w:rsidR="00597149" w:rsidRPr="005C1CAA">
              <w:rPr>
                <w:rFonts w:eastAsia="PalatinoLinotype-Roman" w:cs="Calibri Light"/>
                <w:sz w:val="20"/>
                <w:szCs w:val="20"/>
              </w:rPr>
              <w:t>able H-3</w:t>
            </w:r>
          </w:p>
        </w:tc>
        <w:tc>
          <w:tcPr>
            <w:tcW w:w="2402" w:type="dxa"/>
            <w:shd w:val="clear" w:color="auto" w:fill="auto"/>
            <w:vAlign w:val="center"/>
          </w:tcPr>
          <w:p w14:paraId="274AB5DC" w14:textId="44C53DE0" w:rsidR="00FD2C54" w:rsidRPr="00D124E1" w:rsidRDefault="00290BB3" w:rsidP="003A561F">
            <w:pPr>
              <w:spacing w:before="0" w:after="0"/>
              <w:rPr>
                <w:sz w:val="20"/>
                <w:szCs w:val="20"/>
              </w:rPr>
            </w:pPr>
            <w:r w:rsidRPr="00D124E1">
              <w:rPr>
                <w:sz w:val="20"/>
                <w:szCs w:val="20"/>
              </w:rPr>
              <w:t>See</w:t>
            </w:r>
            <w:r w:rsidR="00246240" w:rsidRPr="00D124E1">
              <w:rPr>
                <w:sz w:val="20"/>
                <w:szCs w:val="20"/>
              </w:rPr>
              <w:t xml:space="preserve"> </w:t>
            </w:r>
            <w:r w:rsidR="00A1430D" w:rsidRPr="00D124E1">
              <w:rPr>
                <w:sz w:val="20"/>
                <w:szCs w:val="20"/>
              </w:rPr>
              <w:t>following table.</w:t>
            </w:r>
          </w:p>
        </w:tc>
      </w:tr>
      <w:tr w:rsidR="00FD2C54" w:rsidRPr="00FB030E" w14:paraId="1238F946" w14:textId="77777777" w:rsidTr="00D124E1">
        <w:trPr>
          <w:trHeight w:val="20"/>
        </w:trPr>
        <w:tc>
          <w:tcPr>
            <w:tcW w:w="4495" w:type="dxa"/>
            <w:shd w:val="clear" w:color="auto" w:fill="auto"/>
            <w:vAlign w:val="center"/>
          </w:tcPr>
          <w:p w14:paraId="4F444C61" w14:textId="44AB23B9" w:rsidR="00FD2C54" w:rsidRPr="00BD6838" w:rsidRDefault="00FD2C54" w:rsidP="003A561F">
            <w:pPr>
              <w:spacing w:before="0" w:after="0"/>
              <w:rPr>
                <w:sz w:val="20"/>
                <w:szCs w:val="20"/>
              </w:rPr>
            </w:pPr>
            <w:r w:rsidRPr="00BD6838">
              <w:rPr>
                <w:sz w:val="20"/>
              </w:rPr>
              <w:t xml:space="preserve">CA Building Energy Efficiency Standards – Title 24 </w:t>
            </w:r>
          </w:p>
        </w:tc>
        <w:tc>
          <w:tcPr>
            <w:tcW w:w="2548" w:type="dxa"/>
            <w:shd w:val="clear" w:color="auto" w:fill="auto"/>
            <w:vAlign w:val="center"/>
          </w:tcPr>
          <w:p w14:paraId="0A330E5E" w14:textId="338A9A62" w:rsidR="00FD2C54" w:rsidRPr="00FB030E" w:rsidRDefault="003A623B" w:rsidP="003A561F">
            <w:pPr>
              <w:spacing w:before="0" w:after="0"/>
              <w:rPr>
                <w:sz w:val="20"/>
                <w:szCs w:val="20"/>
              </w:rPr>
            </w:pPr>
            <w:r>
              <w:rPr>
                <w:sz w:val="20"/>
                <w:szCs w:val="20"/>
              </w:rPr>
              <w:t>Not applicable.</w:t>
            </w:r>
          </w:p>
        </w:tc>
        <w:tc>
          <w:tcPr>
            <w:tcW w:w="2402" w:type="dxa"/>
            <w:shd w:val="clear" w:color="auto" w:fill="auto"/>
            <w:vAlign w:val="center"/>
          </w:tcPr>
          <w:p w14:paraId="63BAD98E" w14:textId="1B29A30F" w:rsidR="00FD2C54" w:rsidRPr="00FB030E" w:rsidRDefault="00FF42AD" w:rsidP="003A561F">
            <w:pPr>
              <w:spacing w:before="0" w:after="0"/>
              <w:rPr>
                <w:sz w:val="20"/>
                <w:szCs w:val="20"/>
              </w:rPr>
            </w:pPr>
            <w:r>
              <w:rPr>
                <w:sz w:val="20"/>
                <w:szCs w:val="20"/>
              </w:rPr>
              <w:t>n/a</w:t>
            </w:r>
          </w:p>
        </w:tc>
      </w:tr>
      <w:tr w:rsidR="00FD2C54" w:rsidRPr="00FB030E" w14:paraId="23FB50B6" w14:textId="77777777" w:rsidTr="00D124E1">
        <w:trPr>
          <w:trHeight w:val="20"/>
        </w:trPr>
        <w:tc>
          <w:tcPr>
            <w:tcW w:w="4495" w:type="dxa"/>
            <w:shd w:val="clear" w:color="auto" w:fill="auto"/>
            <w:vAlign w:val="center"/>
          </w:tcPr>
          <w:p w14:paraId="2EBFC05B" w14:textId="77777777" w:rsidR="00FD2C54" w:rsidRPr="00BD6838" w:rsidRDefault="00FD2C54" w:rsidP="003A561F">
            <w:pPr>
              <w:spacing w:before="0" w:after="0"/>
              <w:rPr>
                <w:sz w:val="20"/>
                <w:szCs w:val="20"/>
              </w:rPr>
            </w:pPr>
            <w:r w:rsidRPr="00BD6838">
              <w:rPr>
                <w:sz w:val="20"/>
              </w:rPr>
              <w:t>Federal Standards</w:t>
            </w:r>
          </w:p>
        </w:tc>
        <w:tc>
          <w:tcPr>
            <w:tcW w:w="2548" w:type="dxa"/>
            <w:shd w:val="clear" w:color="auto" w:fill="auto"/>
            <w:vAlign w:val="center"/>
          </w:tcPr>
          <w:p w14:paraId="0D43394E" w14:textId="5E9C6623" w:rsidR="00FD2C54" w:rsidRPr="00FB030E" w:rsidRDefault="003A623B" w:rsidP="003A561F">
            <w:pPr>
              <w:spacing w:before="0" w:after="0"/>
              <w:rPr>
                <w:sz w:val="20"/>
                <w:szCs w:val="20"/>
              </w:rPr>
            </w:pPr>
            <w:r>
              <w:rPr>
                <w:sz w:val="20"/>
                <w:szCs w:val="20"/>
              </w:rPr>
              <w:t>Not applicable.</w:t>
            </w:r>
          </w:p>
        </w:tc>
        <w:tc>
          <w:tcPr>
            <w:tcW w:w="2402" w:type="dxa"/>
            <w:shd w:val="clear" w:color="auto" w:fill="auto"/>
            <w:vAlign w:val="center"/>
          </w:tcPr>
          <w:p w14:paraId="66FA1B6F" w14:textId="597A8DC3" w:rsidR="00FD2C54" w:rsidRPr="00FB030E" w:rsidRDefault="00FF42AD" w:rsidP="003A561F">
            <w:pPr>
              <w:spacing w:before="0" w:after="0"/>
              <w:rPr>
                <w:sz w:val="20"/>
                <w:szCs w:val="20"/>
              </w:rPr>
            </w:pPr>
            <w:r>
              <w:rPr>
                <w:sz w:val="20"/>
                <w:szCs w:val="20"/>
              </w:rPr>
              <w:t>n/a</w:t>
            </w:r>
          </w:p>
        </w:tc>
      </w:tr>
    </w:tbl>
    <w:p w14:paraId="7B54125B" w14:textId="0520ED7D" w:rsidR="00FD2C54" w:rsidRPr="00C561B9" w:rsidRDefault="00C561B9" w:rsidP="008560FF">
      <w:pPr>
        <w:pStyle w:val="Caption"/>
        <w:rPr>
          <w:i/>
        </w:rPr>
      </w:pPr>
      <w:bookmarkStart w:id="26" w:name="_Toc436643927"/>
      <w:bookmarkStart w:id="27" w:name="_Hlk11284488"/>
      <w:r w:rsidRPr="00C561B9">
        <w:rPr>
          <w:rStyle w:val="Emphasis"/>
          <w:rFonts w:ascii="Calibri Light" w:hAnsi="Calibri Light" w:cs="Calibri Light"/>
          <w:i w:val="0"/>
          <w:sz w:val="20"/>
          <w:szCs w:val="20"/>
        </w:rPr>
        <w:lastRenderedPageBreak/>
        <w:t>California Title 20 Standards for Plumbing Fittings and Fixtures</w:t>
      </w:r>
      <w:bookmarkEnd w:id="26"/>
      <w:r w:rsidRPr="00C561B9">
        <w:rPr>
          <w:rStyle w:val="Emphasis"/>
          <w:rFonts w:ascii="Calibri Light" w:hAnsi="Calibri Light" w:cs="Calibri Light"/>
          <w:i w:val="0"/>
          <w:sz w:val="20"/>
          <w:szCs w:val="20"/>
        </w:rPr>
        <w:t xml:space="preserve">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576"/>
        <w:gridCol w:w="1152"/>
        <w:gridCol w:w="1728"/>
        <w:gridCol w:w="1728"/>
        <w:gridCol w:w="1728"/>
        <w:gridCol w:w="1443"/>
      </w:tblGrid>
      <w:tr w:rsidR="005E4082" w:rsidRPr="003A7D3B" w14:paraId="6BCC8309" w14:textId="77777777" w:rsidTr="00D26418">
        <w:trPr>
          <w:cantSplit/>
          <w:trHeight w:val="20"/>
          <w:tblHeader/>
        </w:trPr>
        <w:tc>
          <w:tcPr>
            <w:tcW w:w="1576" w:type="dxa"/>
            <w:vMerge w:val="restart"/>
            <w:shd w:val="clear" w:color="auto" w:fill="F2F2F2" w:themeFill="background1" w:themeFillShade="F2"/>
            <w:vAlign w:val="bottom"/>
          </w:tcPr>
          <w:p w14:paraId="68C27799" w14:textId="4D6B3B9E" w:rsidR="005E4082" w:rsidRPr="003A7D3B" w:rsidRDefault="005E4082" w:rsidP="006B2BF4">
            <w:pPr>
              <w:spacing w:before="100" w:beforeAutospacing="1" w:after="100" w:afterAutospacing="1"/>
              <w:jc w:val="center"/>
              <w:rPr>
                <w:rFonts w:eastAsia="Times New Roman" w:cs="Calibri Light"/>
                <w:b/>
                <w:bCs/>
                <w:color w:val="000000"/>
                <w:sz w:val="20"/>
                <w:szCs w:val="20"/>
              </w:rPr>
            </w:pPr>
            <w:bookmarkStart w:id="28" w:name="_Hlk11284222"/>
            <w:bookmarkEnd w:id="27"/>
            <w:r w:rsidRPr="003A7D3B">
              <w:rPr>
                <w:rFonts w:eastAsia="Times New Roman" w:cs="Calibri Light"/>
                <w:b/>
                <w:bCs/>
                <w:color w:val="000000"/>
                <w:sz w:val="20"/>
                <w:szCs w:val="20"/>
              </w:rPr>
              <w:t>Regulated Water Appliance</w:t>
            </w:r>
          </w:p>
        </w:tc>
        <w:tc>
          <w:tcPr>
            <w:tcW w:w="1152" w:type="dxa"/>
            <w:vMerge w:val="restart"/>
            <w:shd w:val="clear" w:color="auto" w:fill="F2F2F2" w:themeFill="background1" w:themeFillShade="F2"/>
            <w:vAlign w:val="bottom"/>
          </w:tcPr>
          <w:p w14:paraId="0773209F" w14:textId="6303C615" w:rsidR="005E4082" w:rsidRPr="003A7D3B" w:rsidRDefault="005E4082" w:rsidP="006B2BF4">
            <w:pPr>
              <w:spacing w:before="100" w:beforeAutospacing="1" w:after="100" w:afterAutospacing="1"/>
              <w:jc w:val="center"/>
              <w:rPr>
                <w:rFonts w:eastAsia="Times New Roman" w:cs="Calibri Light"/>
                <w:b/>
                <w:bCs/>
                <w:color w:val="000000"/>
                <w:sz w:val="20"/>
                <w:szCs w:val="20"/>
              </w:rPr>
            </w:pPr>
            <w:r w:rsidRPr="003A7D3B">
              <w:rPr>
                <w:rFonts w:eastAsia="Times New Roman" w:cs="Calibri Light"/>
                <w:b/>
                <w:bCs/>
                <w:color w:val="000000"/>
                <w:sz w:val="20"/>
                <w:szCs w:val="20"/>
              </w:rPr>
              <w:t xml:space="preserve">Regulation </w:t>
            </w:r>
            <w:r w:rsidRPr="003A7D3B">
              <w:rPr>
                <w:rFonts w:eastAsia="Times New Roman" w:cs="Calibri Light"/>
                <w:b/>
                <w:bCs/>
                <w:color w:val="000000"/>
                <w:sz w:val="20"/>
                <w:szCs w:val="20"/>
              </w:rPr>
              <w:br/>
              <w:t>(</w:t>
            </w:r>
            <w:r w:rsidR="00D26418">
              <w:rPr>
                <w:rFonts w:eastAsia="Times New Roman" w:cs="Calibri Light"/>
                <w:b/>
                <w:bCs/>
                <w:color w:val="000000"/>
                <w:sz w:val="20"/>
                <w:szCs w:val="20"/>
              </w:rPr>
              <w:t>Pre</w:t>
            </w:r>
            <w:r>
              <w:rPr>
                <w:rFonts w:eastAsia="Times New Roman" w:cs="Calibri Light"/>
                <w:b/>
                <w:bCs/>
                <w:color w:val="000000"/>
                <w:sz w:val="20"/>
                <w:szCs w:val="20"/>
              </w:rPr>
              <w:t xml:space="preserve"> Sept. 1, 2015</w:t>
            </w:r>
            <w:r w:rsidRPr="003A7D3B">
              <w:rPr>
                <w:rFonts w:eastAsia="Times New Roman" w:cs="Calibri Light"/>
                <w:b/>
                <w:bCs/>
                <w:color w:val="000000"/>
                <w:sz w:val="20"/>
                <w:szCs w:val="20"/>
              </w:rPr>
              <w:t>)</w:t>
            </w:r>
          </w:p>
        </w:tc>
        <w:tc>
          <w:tcPr>
            <w:tcW w:w="6627" w:type="dxa"/>
            <w:gridSpan w:val="4"/>
            <w:shd w:val="clear" w:color="auto" w:fill="F2F2F2" w:themeFill="background1" w:themeFillShade="F2"/>
            <w:vAlign w:val="bottom"/>
          </w:tcPr>
          <w:p w14:paraId="0DE5C694" w14:textId="575743C3"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r>
              <w:rPr>
                <w:rFonts w:eastAsia="Times New Roman" w:cs="Calibri Light"/>
                <w:b/>
                <w:bCs/>
                <w:color w:val="000000"/>
                <w:sz w:val="20"/>
                <w:szCs w:val="20"/>
              </w:rPr>
              <w:t>Effective Date</w:t>
            </w:r>
          </w:p>
        </w:tc>
      </w:tr>
      <w:tr w:rsidR="005E4082" w:rsidRPr="003A7D3B" w14:paraId="44C4339C" w14:textId="77777777" w:rsidTr="00D26418">
        <w:trPr>
          <w:cantSplit/>
          <w:trHeight w:val="20"/>
          <w:tblHeader/>
        </w:trPr>
        <w:tc>
          <w:tcPr>
            <w:tcW w:w="1576" w:type="dxa"/>
            <w:vMerge/>
            <w:shd w:val="clear" w:color="auto" w:fill="F2F2F2" w:themeFill="background1" w:themeFillShade="F2"/>
            <w:vAlign w:val="bottom"/>
            <w:hideMark/>
          </w:tcPr>
          <w:p w14:paraId="34A0DC83" w14:textId="5471BA37"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p>
        </w:tc>
        <w:tc>
          <w:tcPr>
            <w:tcW w:w="1152" w:type="dxa"/>
            <w:vMerge/>
            <w:shd w:val="clear" w:color="auto" w:fill="F2F2F2" w:themeFill="background1" w:themeFillShade="F2"/>
            <w:vAlign w:val="bottom"/>
            <w:hideMark/>
          </w:tcPr>
          <w:p w14:paraId="1A385898" w14:textId="2E914D79"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p>
        </w:tc>
        <w:tc>
          <w:tcPr>
            <w:tcW w:w="1728" w:type="dxa"/>
            <w:shd w:val="clear" w:color="auto" w:fill="F2F2F2" w:themeFill="background1" w:themeFillShade="F2"/>
            <w:vAlign w:val="bottom"/>
            <w:hideMark/>
          </w:tcPr>
          <w:p w14:paraId="7EAB923C" w14:textId="49CF796A"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r w:rsidRPr="003A7D3B">
              <w:rPr>
                <w:rFonts w:eastAsia="Times New Roman" w:cs="Calibri Light"/>
                <w:b/>
                <w:bCs/>
                <w:color w:val="000000"/>
                <w:sz w:val="20"/>
                <w:szCs w:val="20"/>
              </w:rPr>
              <w:t>Sept. 1, 2015</w:t>
            </w:r>
          </w:p>
        </w:tc>
        <w:tc>
          <w:tcPr>
            <w:tcW w:w="1728" w:type="dxa"/>
            <w:shd w:val="clear" w:color="auto" w:fill="F2F2F2" w:themeFill="background1" w:themeFillShade="F2"/>
            <w:vAlign w:val="bottom"/>
            <w:hideMark/>
          </w:tcPr>
          <w:p w14:paraId="171611E4" w14:textId="3771AEBA"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r w:rsidRPr="003A7D3B">
              <w:rPr>
                <w:rFonts w:eastAsia="Times New Roman" w:cs="Calibri Light"/>
                <w:b/>
                <w:bCs/>
                <w:color w:val="000000"/>
                <w:sz w:val="20"/>
                <w:szCs w:val="20"/>
              </w:rPr>
              <w:t>Jan. 1, 2016</w:t>
            </w:r>
          </w:p>
        </w:tc>
        <w:tc>
          <w:tcPr>
            <w:tcW w:w="1728" w:type="dxa"/>
            <w:shd w:val="clear" w:color="auto" w:fill="F2F2F2" w:themeFill="background1" w:themeFillShade="F2"/>
            <w:vAlign w:val="bottom"/>
            <w:hideMark/>
          </w:tcPr>
          <w:p w14:paraId="44B928AD" w14:textId="1F48D988"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r w:rsidRPr="003A7D3B">
              <w:rPr>
                <w:rFonts w:eastAsia="Times New Roman" w:cs="Calibri Light"/>
                <w:b/>
                <w:bCs/>
                <w:color w:val="000000"/>
                <w:sz w:val="20"/>
                <w:szCs w:val="20"/>
              </w:rPr>
              <w:t>July 1, 2016</w:t>
            </w:r>
          </w:p>
        </w:tc>
        <w:tc>
          <w:tcPr>
            <w:tcW w:w="1443" w:type="dxa"/>
            <w:shd w:val="clear" w:color="auto" w:fill="F2F2F2" w:themeFill="background1" w:themeFillShade="F2"/>
            <w:vAlign w:val="bottom"/>
            <w:hideMark/>
          </w:tcPr>
          <w:p w14:paraId="0E5A4E51" w14:textId="48CE0694" w:rsidR="005E4082" w:rsidRPr="003A7D3B" w:rsidRDefault="005E4082" w:rsidP="006B2BF4">
            <w:pPr>
              <w:spacing w:before="100" w:beforeAutospacing="1" w:after="100" w:afterAutospacing="1" w:line="240" w:lineRule="auto"/>
              <w:jc w:val="center"/>
              <w:rPr>
                <w:rFonts w:eastAsia="Times New Roman" w:cs="Calibri Light"/>
                <w:b/>
                <w:bCs/>
                <w:color w:val="000000"/>
                <w:sz w:val="20"/>
                <w:szCs w:val="20"/>
              </w:rPr>
            </w:pPr>
            <w:r w:rsidRPr="003A7D3B">
              <w:rPr>
                <w:rFonts w:eastAsia="Times New Roman" w:cs="Calibri Light"/>
                <w:b/>
                <w:bCs/>
                <w:color w:val="000000"/>
                <w:sz w:val="20"/>
                <w:szCs w:val="20"/>
              </w:rPr>
              <w:t>July 1, 2018</w:t>
            </w:r>
          </w:p>
        </w:tc>
      </w:tr>
      <w:tr w:rsidR="005E4082" w:rsidRPr="003A7D3B" w14:paraId="1C5049C3" w14:textId="77777777" w:rsidTr="00ED4F0C">
        <w:trPr>
          <w:cantSplit/>
          <w:trHeight w:val="20"/>
        </w:trPr>
        <w:tc>
          <w:tcPr>
            <w:tcW w:w="1576" w:type="dxa"/>
            <w:shd w:val="clear" w:color="auto" w:fill="auto"/>
            <w:vAlign w:val="center"/>
            <w:hideMark/>
          </w:tcPr>
          <w:p w14:paraId="040D3FFD" w14:textId="77777777"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Lavatory Faucet and Aerator</w:t>
            </w:r>
          </w:p>
        </w:tc>
        <w:tc>
          <w:tcPr>
            <w:tcW w:w="1152" w:type="dxa"/>
            <w:shd w:val="clear" w:color="auto" w:fill="auto"/>
            <w:noWrap/>
            <w:vAlign w:val="center"/>
            <w:hideMark/>
          </w:tcPr>
          <w:p w14:paraId="0B5C747A" w14:textId="6DCF1E67"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 xml:space="preserve">2.2 </w:t>
            </w:r>
            <w:proofErr w:type="spellStart"/>
            <w:r w:rsidRPr="003A7D3B">
              <w:rPr>
                <w:rFonts w:eastAsia="Times New Roman" w:cs="Calibri Light"/>
                <w:color w:val="000000"/>
                <w:sz w:val="20"/>
                <w:szCs w:val="20"/>
              </w:rPr>
              <w:t>gpm</w:t>
            </w:r>
            <w:proofErr w:type="spellEnd"/>
            <w:r w:rsidRPr="003A7D3B">
              <w:rPr>
                <w:rFonts w:eastAsia="Times New Roman" w:cs="Calibri Light"/>
                <w:color w:val="000000"/>
                <w:sz w:val="20"/>
                <w:szCs w:val="20"/>
              </w:rPr>
              <w:t xml:space="preserve"> </w:t>
            </w:r>
            <w:r>
              <w:rPr>
                <w:rFonts w:eastAsia="Times New Roman" w:cs="Calibri Light"/>
                <w:color w:val="000000"/>
                <w:sz w:val="20"/>
                <w:szCs w:val="20"/>
              </w:rPr>
              <w:t>@</w:t>
            </w:r>
            <w:r w:rsidRPr="003A7D3B">
              <w:rPr>
                <w:rFonts w:eastAsia="Times New Roman" w:cs="Calibri Light"/>
                <w:color w:val="000000"/>
                <w:sz w:val="20"/>
                <w:szCs w:val="20"/>
              </w:rPr>
              <w:t>60 psi</w:t>
            </w:r>
            <w:r>
              <w:rPr>
                <w:rFonts w:eastAsia="Times New Roman" w:cs="Calibri Light"/>
                <w:color w:val="000000"/>
                <w:sz w:val="20"/>
                <w:szCs w:val="20"/>
              </w:rPr>
              <w:t xml:space="preserve"> </w:t>
            </w:r>
          </w:p>
        </w:tc>
        <w:tc>
          <w:tcPr>
            <w:tcW w:w="1728" w:type="dxa"/>
            <w:shd w:val="clear" w:color="auto" w:fill="auto"/>
            <w:vAlign w:val="center"/>
            <w:hideMark/>
          </w:tcPr>
          <w:p w14:paraId="74ED1C32" w14:textId="5D8AA92F"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 xml:space="preserve">1.5 </w:t>
            </w:r>
            <w:proofErr w:type="spellStart"/>
            <w:r w:rsidRPr="003A7D3B">
              <w:rPr>
                <w:rFonts w:eastAsia="Times New Roman" w:cs="Calibri Light"/>
                <w:color w:val="000000"/>
                <w:sz w:val="20"/>
                <w:szCs w:val="20"/>
              </w:rPr>
              <w:t>gpm</w:t>
            </w:r>
            <w:proofErr w:type="spellEnd"/>
            <w:r w:rsidRPr="003A7D3B">
              <w:rPr>
                <w:rFonts w:eastAsia="Times New Roman" w:cs="Calibri Light"/>
                <w:color w:val="000000"/>
                <w:sz w:val="20"/>
                <w:szCs w:val="20"/>
              </w:rPr>
              <w:t xml:space="preserve"> </w:t>
            </w:r>
            <w:r>
              <w:rPr>
                <w:rFonts w:eastAsia="Times New Roman" w:cs="Calibri Light"/>
                <w:color w:val="000000"/>
                <w:sz w:val="20"/>
                <w:szCs w:val="20"/>
              </w:rPr>
              <w:t>@</w:t>
            </w:r>
            <w:r w:rsidRPr="003A7D3B">
              <w:rPr>
                <w:rFonts w:eastAsia="Times New Roman" w:cs="Calibri Light"/>
                <w:color w:val="000000"/>
                <w:sz w:val="20"/>
                <w:szCs w:val="20"/>
              </w:rPr>
              <w:t xml:space="preserve"> 60 psi</w:t>
            </w:r>
          </w:p>
        </w:tc>
        <w:tc>
          <w:tcPr>
            <w:tcW w:w="1728" w:type="dxa"/>
            <w:shd w:val="clear" w:color="auto" w:fill="auto"/>
            <w:noWrap/>
            <w:vAlign w:val="center"/>
            <w:hideMark/>
          </w:tcPr>
          <w:p w14:paraId="475FACFD" w14:textId="2C9B5F3B" w:rsidR="005E4082" w:rsidRPr="003A7D3B" w:rsidRDefault="005E4082" w:rsidP="006B2BF4">
            <w:pPr>
              <w:spacing w:before="100" w:beforeAutospacing="1" w:after="100" w:afterAutospacing="1" w:line="240" w:lineRule="auto"/>
              <w:rPr>
                <w:rFonts w:eastAsia="Times New Roman" w:cs="Calibri Light"/>
                <w:color w:val="000000"/>
                <w:sz w:val="20"/>
                <w:szCs w:val="20"/>
              </w:rPr>
            </w:pPr>
            <w:r>
              <w:rPr>
                <w:rFonts w:eastAsia="Times New Roman" w:cs="Calibri Light"/>
                <w:color w:val="000000"/>
                <w:sz w:val="20"/>
                <w:szCs w:val="20"/>
              </w:rPr>
              <w:t>-</w:t>
            </w:r>
          </w:p>
        </w:tc>
        <w:tc>
          <w:tcPr>
            <w:tcW w:w="1728" w:type="dxa"/>
            <w:shd w:val="clear" w:color="auto" w:fill="auto"/>
            <w:vAlign w:val="center"/>
            <w:hideMark/>
          </w:tcPr>
          <w:p w14:paraId="3C7C4572" w14:textId="36184756"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 xml:space="preserve">1.2 </w:t>
            </w:r>
            <w:proofErr w:type="spellStart"/>
            <w:r w:rsidRPr="003A7D3B">
              <w:rPr>
                <w:rFonts w:eastAsia="Times New Roman" w:cs="Calibri Light"/>
                <w:color w:val="000000"/>
                <w:sz w:val="20"/>
                <w:szCs w:val="20"/>
              </w:rPr>
              <w:t>gpm</w:t>
            </w:r>
            <w:proofErr w:type="spellEnd"/>
            <w:r w:rsidRPr="003A7D3B">
              <w:rPr>
                <w:rFonts w:eastAsia="Times New Roman" w:cs="Calibri Light"/>
                <w:color w:val="000000"/>
                <w:sz w:val="20"/>
                <w:szCs w:val="20"/>
              </w:rPr>
              <w:t xml:space="preserve"> </w:t>
            </w:r>
            <w:r>
              <w:rPr>
                <w:rFonts w:eastAsia="Times New Roman" w:cs="Calibri Light"/>
                <w:color w:val="000000"/>
                <w:sz w:val="20"/>
                <w:szCs w:val="20"/>
              </w:rPr>
              <w:t>@</w:t>
            </w:r>
            <w:r w:rsidRPr="003A7D3B">
              <w:rPr>
                <w:rFonts w:eastAsia="Times New Roman" w:cs="Calibri Light"/>
                <w:color w:val="000000"/>
                <w:sz w:val="20"/>
                <w:szCs w:val="20"/>
              </w:rPr>
              <w:t>60 psi</w:t>
            </w:r>
          </w:p>
        </w:tc>
        <w:tc>
          <w:tcPr>
            <w:tcW w:w="1443" w:type="dxa"/>
            <w:shd w:val="clear" w:color="auto" w:fill="auto"/>
            <w:noWrap/>
            <w:vAlign w:val="center"/>
            <w:hideMark/>
          </w:tcPr>
          <w:p w14:paraId="0680F099" w14:textId="38BB457A" w:rsidR="005E4082" w:rsidRPr="003A7D3B" w:rsidRDefault="005E4082" w:rsidP="006B2BF4">
            <w:pPr>
              <w:spacing w:before="100" w:beforeAutospacing="1" w:after="100" w:afterAutospacing="1" w:line="240" w:lineRule="auto"/>
              <w:rPr>
                <w:rFonts w:eastAsia="Times New Roman" w:cs="Calibri Light"/>
                <w:color w:val="000000"/>
                <w:sz w:val="20"/>
                <w:szCs w:val="20"/>
              </w:rPr>
            </w:pPr>
            <w:r>
              <w:rPr>
                <w:rFonts w:eastAsia="Times New Roman" w:cs="Calibri Light"/>
                <w:color w:val="000000"/>
                <w:sz w:val="20"/>
                <w:szCs w:val="20"/>
              </w:rPr>
              <w:t>-</w:t>
            </w:r>
          </w:p>
        </w:tc>
      </w:tr>
      <w:tr w:rsidR="005E4082" w:rsidRPr="003A7D3B" w14:paraId="42BF99E0" w14:textId="77777777" w:rsidTr="00ED4F0C">
        <w:trPr>
          <w:cantSplit/>
          <w:trHeight w:val="20"/>
        </w:trPr>
        <w:tc>
          <w:tcPr>
            <w:tcW w:w="1576" w:type="dxa"/>
            <w:shd w:val="clear" w:color="auto" w:fill="auto"/>
            <w:noWrap/>
            <w:vAlign w:val="center"/>
            <w:hideMark/>
          </w:tcPr>
          <w:p w14:paraId="11FEB017" w14:textId="77777777"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Kitchen (Sink) Faucet</w:t>
            </w:r>
          </w:p>
        </w:tc>
        <w:tc>
          <w:tcPr>
            <w:tcW w:w="1152" w:type="dxa"/>
            <w:shd w:val="clear" w:color="auto" w:fill="auto"/>
            <w:noWrap/>
            <w:vAlign w:val="center"/>
            <w:hideMark/>
          </w:tcPr>
          <w:p w14:paraId="72B62B42" w14:textId="2EBD71B0"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 xml:space="preserve">2.2 </w:t>
            </w:r>
            <w:proofErr w:type="spellStart"/>
            <w:r w:rsidRPr="003A7D3B">
              <w:rPr>
                <w:rFonts w:eastAsia="Times New Roman" w:cs="Calibri Light"/>
                <w:color w:val="000000"/>
                <w:sz w:val="20"/>
                <w:szCs w:val="20"/>
              </w:rPr>
              <w:t>gpm</w:t>
            </w:r>
            <w:proofErr w:type="spellEnd"/>
            <w:r w:rsidRPr="003A7D3B">
              <w:rPr>
                <w:rFonts w:eastAsia="Times New Roman" w:cs="Calibri Light"/>
                <w:color w:val="000000"/>
                <w:sz w:val="20"/>
                <w:szCs w:val="20"/>
              </w:rPr>
              <w:t xml:space="preserve"> </w:t>
            </w:r>
            <w:r>
              <w:rPr>
                <w:rFonts w:eastAsia="Times New Roman" w:cs="Calibri Light"/>
                <w:color w:val="000000"/>
                <w:sz w:val="20"/>
                <w:szCs w:val="20"/>
              </w:rPr>
              <w:t>@</w:t>
            </w:r>
            <w:r w:rsidRPr="003A7D3B">
              <w:rPr>
                <w:rFonts w:eastAsia="Times New Roman" w:cs="Calibri Light"/>
                <w:color w:val="000000"/>
                <w:sz w:val="20"/>
                <w:szCs w:val="20"/>
              </w:rPr>
              <w:t>60 psi</w:t>
            </w:r>
          </w:p>
        </w:tc>
        <w:tc>
          <w:tcPr>
            <w:tcW w:w="1728" w:type="dxa"/>
            <w:shd w:val="clear" w:color="auto" w:fill="auto"/>
            <w:noWrap/>
            <w:vAlign w:val="center"/>
            <w:hideMark/>
          </w:tcPr>
          <w:p w14:paraId="51A67910" w14:textId="6E4A7C3D" w:rsidR="005E4082" w:rsidRPr="003A7D3B" w:rsidRDefault="005E4082" w:rsidP="006B2BF4">
            <w:pPr>
              <w:spacing w:before="100" w:beforeAutospacing="1" w:after="100" w:afterAutospacing="1" w:line="240" w:lineRule="auto"/>
              <w:rPr>
                <w:rFonts w:eastAsia="Times New Roman" w:cs="Calibri Light"/>
                <w:color w:val="000000"/>
                <w:sz w:val="20"/>
                <w:szCs w:val="20"/>
              </w:rPr>
            </w:pPr>
            <w:r>
              <w:rPr>
                <w:rFonts w:eastAsia="Times New Roman" w:cs="Calibri Light"/>
                <w:color w:val="000000"/>
                <w:sz w:val="20"/>
                <w:szCs w:val="20"/>
              </w:rPr>
              <w:t>-</w:t>
            </w:r>
          </w:p>
        </w:tc>
        <w:tc>
          <w:tcPr>
            <w:tcW w:w="1728" w:type="dxa"/>
            <w:shd w:val="clear" w:color="auto" w:fill="auto"/>
            <w:vAlign w:val="center"/>
            <w:hideMark/>
          </w:tcPr>
          <w:p w14:paraId="7A7F3ED7" w14:textId="1F0E681B" w:rsidR="005E4082" w:rsidRPr="003A7D3B" w:rsidRDefault="005E4082" w:rsidP="006B2BF4">
            <w:pPr>
              <w:spacing w:before="100" w:beforeAutospacing="1" w:after="100" w:afterAutospacing="1" w:line="240" w:lineRule="auto"/>
              <w:rPr>
                <w:rFonts w:eastAsia="Times New Roman" w:cs="Calibri Light"/>
                <w:color w:val="000000"/>
                <w:sz w:val="20"/>
                <w:szCs w:val="20"/>
              </w:rPr>
            </w:pPr>
            <w:r w:rsidRPr="003A7D3B">
              <w:rPr>
                <w:rFonts w:eastAsia="Times New Roman" w:cs="Calibri Light"/>
                <w:color w:val="000000"/>
                <w:sz w:val="20"/>
                <w:szCs w:val="20"/>
              </w:rPr>
              <w:t xml:space="preserve">1.8 </w:t>
            </w:r>
            <w:proofErr w:type="spellStart"/>
            <w:r w:rsidRPr="003A7D3B">
              <w:rPr>
                <w:rFonts w:eastAsia="Times New Roman" w:cs="Calibri Light"/>
                <w:color w:val="000000"/>
                <w:sz w:val="20"/>
                <w:szCs w:val="20"/>
              </w:rPr>
              <w:t>gpm</w:t>
            </w:r>
            <w:proofErr w:type="spellEnd"/>
            <w:r w:rsidRPr="003A7D3B">
              <w:rPr>
                <w:rFonts w:eastAsia="Times New Roman" w:cs="Calibri Light"/>
                <w:color w:val="000000"/>
                <w:sz w:val="20"/>
                <w:szCs w:val="20"/>
              </w:rPr>
              <w:t>, optional</w:t>
            </w:r>
            <w:r>
              <w:rPr>
                <w:rFonts w:eastAsia="Times New Roman" w:cs="Calibri Light"/>
                <w:color w:val="000000"/>
                <w:sz w:val="20"/>
                <w:szCs w:val="20"/>
              </w:rPr>
              <w:t xml:space="preserve"> </w:t>
            </w:r>
            <w:r w:rsidRPr="003A7D3B">
              <w:rPr>
                <w:rFonts w:eastAsia="Times New Roman" w:cs="Calibri Light"/>
                <w:color w:val="000000"/>
                <w:sz w:val="20"/>
                <w:szCs w:val="20"/>
              </w:rPr>
              <w:t xml:space="preserve">temporary flow of 2.2 </w:t>
            </w:r>
            <w:proofErr w:type="spellStart"/>
            <w:r w:rsidRPr="003A7D3B">
              <w:rPr>
                <w:rFonts w:eastAsia="Times New Roman" w:cs="Calibri Light"/>
                <w:color w:val="000000"/>
                <w:sz w:val="20"/>
                <w:szCs w:val="20"/>
              </w:rPr>
              <w:t>gpm</w:t>
            </w:r>
            <w:proofErr w:type="spellEnd"/>
            <w:r w:rsidRPr="003A7D3B">
              <w:rPr>
                <w:rFonts w:eastAsia="Times New Roman" w:cs="Calibri Light"/>
                <w:color w:val="000000"/>
                <w:sz w:val="20"/>
                <w:szCs w:val="20"/>
              </w:rPr>
              <w:t xml:space="preserve"> </w:t>
            </w:r>
            <w:r>
              <w:rPr>
                <w:rFonts w:eastAsia="Times New Roman" w:cs="Calibri Light"/>
                <w:color w:val="000000"/>
                <w:sz w:val="20"/>
                <w:szCs w:val="20"/>
              </w:rPr>
              <w:t>@</w:t>
            </w:r>
            <w:r w:rsidRPr="003A7D3B">
              <w:rPr>
                <w:rFonts w:eastAsia="Times New Roman" w:cs="Calibri Light"/>
                <w:color w:val="000000"/>
                <w:sz w:val="20"/>
                <w:szCs w:val="20"/>
              </w:rPr>
              <w:t>60 psi</w:t>
            </w:r>
          </w:p>
        </w:tc>
        <w:tc>
          <w:tcPr>
            <w:tcW w:w="1728" w:type="dxa"/>
            <w:shd w:val="clear" w:color="auto" w:fill="auto"/>
            <w:noWrap/>
            <w:vAlign w:val="center"/>
            <w:hideMark/>
          </w:tcPr>
          <w:p w14:paraId="7E9AAABF" w14:textId="3D8DFBF0" w:rsidR="005E4082" w:rsidRPr="003A7D3B" w:rsidRDefault="005E4082" w:rsidP="006B2BF4">
            <w:pPr>
              <w:spacing w:before="100" w:beforeAutospacing="1" w:after="100" w:afterAutospacing="1" w:line="240" w:lineRule="auto"/>
              <w:rPr>
                <w:rFonts w:eastAsia="Times New Roman" w:cs="Calibri Light"/>
                <w:color w:val="000000"/>
                <w:sz w:val="20"/>
                <w:szCs w:val="20"/>
              </w:rPr>
            </w:pPr>
            <w:r>
              <w:rPr>
                <w:rFonts w:eastAsia="Times New Roman" w:cs="Calibri Light"/>
                <w:color w:val="000000"/>
                <w:sz w:val="20"/>
                <w:szCs w:val="20"/>
              </w:rPr>
              <w:t>-</w:t>
            </w:r>
          </w:p>
        </w:tc>
        <w:tc>
          <w:tcPr>
            <w:tcW w:w="1443" w:type="dxa"/>
            <w:shd w:val="clear" w:color="auto" w:fill="auto"/>
            <w:noWrap/>
            <w:vAlign w:val="center"/>
            <w:hideMark/>
          </w:tcPr>
          <w:p w14:paraId="0E957047" w14:textId="335F8DE4" w:rsidR="005E4082" w:rsidRPr="003A7D3B" w:rsidRDefault="005E4082" w:rsidP="006B2BF4">
            <w:pPr>
              <w:spacing w:before="100" w:beforeAutospacing="1" w:after="100" w:afterAutospacing="1" w:line="240" w:lineRule="auto"/>
              <w:rPr>
                <w:rFonts w:eastAsia="Times New Roman" w:cs="Calibri Light"/>
                <w:color w:val="000000"/>
                <w:sz w:val="20"/>
                <w:szCs w:val="20"/>
              </w:rPr>
            </w:pPr>
            <w:r>
              <w:rPr>
                <w:rFonts w:eastAsia="Times New Roman" w:cs="Calibri Light"/>
                <w:color w:val="000000"/>
                <w:sz w:val="20"/>
                <w:szCs w:val="20"/>
              </w:rPr>
              <w:t>-</w:t>
            </w:r>
          </w:p>
        </w:tc>
      </w:tr>
      <w:bookmarkEnd w:id="28"/>
    </w:tbl>
    <w:p w14:paraId="1B36815F" w14:textId="77777777" w:rsidR="00597149" w:rsidRDefault="00597149" w:rsidP="0011498C"/>
    <w:p w14:paraId="1EE16D20" w14:textId="77777777" w:rsidR="007D230B" w:rsidRPr="00171BB8" w:rsidRDefault="007D230B" w:rsidP="00462BB6">
      <w:pPr>
        <w:pStyle w:val="eTRMHeading3"/>
      </w:pPr>
      <w:bookmarkStart w:id="29" w:name="_Toc486490851"/>
      <w:bookmarkStart w:id="30" w:name="_Toc486580922"/>
      <w:bookmarkStart w:id="31" w:name="_Toc12567163"/>
      <w:r w:rsidRPr="00A83458">
        <w:t>Normalizing</w:t>
      </w:r>
      <w:r w:rsidRPr="00171BB8">
        <w:t xml:space="preserve"> Unit</w:t>
      </w:r>
      <w:bookmarkEnd w:id="29"/>
      <w:bookmarkEnd w:id="30"/>
      <w:bookmarkEnd w:id="31"/>
    </w:p>
    <w:p w14:paraId="085E9363" w14:textId="52913D3B" w:rsidR="007D230B" w:rsidRDefault="009103B6" w:rsidP="00486585">
      <w:r>
        <w:t>Per aerator (e</w:t>
      </w:r>
      <w:r w:rsidR="00BE4E8D">
        <w:t>ach</w:t>
      </w:r>
      <w:r>
        <w:t>)</w:t>
      </w:r>
      <w:r w:rsidR="00BE4E8D">
        <w:t xml:space="preserve">. </w:t>
      </w:r>
    </w:p>
    <w:p w14:paraId="0115BB45" w14:textId="77777777" w:rsidR="009C31A4" w:rsidRPr="007D230B" w:rsidRDefault="009C31A4" w:rsidP="00486585"/>
    <w:p w14:paraId="2F4904E6" w14:textId="77777777" w:rsidR="007D230B" w:rsidRPr="004B06E3" w:rsidRDefault="007D230B" w:rsidP="00462BB6">
      <w:pPr>
        <w:pStyle w:val="eTRMHeading3"/>
      </w:pPr>
      <w:bookmarkStart w:id="32" w:name="_Toc486490852"/>
      <w:bookmarkStart w:id="33" w:name="_Toc486580923"/>
      <w:bookmarkStart w:id="34" w:name="_Toc12567164"/>
      <w:r w:rsidRPr="004B06E3">
        <w:t>Program Requirements</w:t>
      </w:r>
      <w:bookmarkEnd w:id="32"/>
      <w:bookmarkEnd w:id="33"/>
      <w:bookmarkEnd w:id="34"/>
      <w:r w:rsidRPr="004B06E3">
        <w:t xml:space="preserve"> </w:t>
      </w:r>
    </w:p>
    <w:p w14:paraId="04D9C97C" w14:textId="77777777" w:rsidR="00BE6116" w:rsidRDefault="00BE6116" w:rsidP="00BE6116">
      <w:pPr>
        <w:pStyle w:val="eTRMHeading5"/>
        <w:keepNext/>
        <w:keepLines/>
      </w:pPr>
      <w:r>
        <w:t>Measure Implementation Eligibility</w:t>
      </w:r>
    </w:p>
    <w:p w14:paraId="321353E5" w14:textId="77777777" w:rsidR="00BE6116" w:rsidRDefault="00BE6116" w:rsidP="00BE6116">
      <w:bookmarkStart w:id="35" w:name="_Hlk527543844"/>
      <w:bookmarkStart w:id="3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5"/>
    </w:p>
    <w:bookmarkEnd w:id="36"/>
    <w:p w14:paraId="2A86345C" w14:textId="77777777" w:rsidR="00BE6116" w:rsidRPr="002C1A40" w:rsidRDefault="00BE6116" w:rsidP="00BE6116">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 xml:space="preserve">allowed for some measure </w:t>
      </w:r>
      <w:r w:rsidRPr="002C1A40">
        <w:rPr>
          <w:i/>
        </w:rPr>
        <w:t>offerings by all program administrators.</w:t>
      </w:r>
    </w:p>
    <w:p w14:paraId="1C5D6C6E" w14:textId="1735E66D" w:rsidR="00755247" w:rsidRPr="002C1A40" w:rsidRDefault="00755247" w:rsidP="00A1430D">
      <w:pPr>
        <w:pStyle w:val="Caption"/>
      </w:pPr>
      <w:r w:rsidRPr="002C1A40">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755247" w:rsidRPr="002C1A40" w14:paraId="0B3B8097" w14:textId="77777777" w:rsidTr="7FB13BFA">
        <w:trPr>
          <w:trHeight w:val="290"/>
        </w:trPr>
        <w:tc>
          <w:tcPr>
            <w:tcW w:w="3024" w:type="dxa"/>
            <w:shd w:val="clear" w:color="auto" w:fill="F2F2F2" w:themeFill="background1" w:themeFillShade="F2"/>
            <w:noWrap/>
            <w:tcMar>
              <w:top w:w="0" w:type="dxa"/>
              <w:left w:w="108" w:type="dxa"/>
              <w:bottom w:w="0" w:type="dxa"/>
              <w:right w:w="108" w:type="dxa"/>
            </w:tcMar>
            <w:vAlign w:val="center"/>
            <w:hideMark/>
          </w:tcPr>
          <w:p w14:paraId="47157B9F" w14:textId="77777777" w:rsidR="00755247" w:rsidRPr="002C1A40" w:rsidRDefault="00755247" w:rsidP="00A1430D">
            <w:pPr>
              <w:keepNext/>
              <w:keepLines/>
              <w:spacing w:before="0" w:after="0"/>
              <w:rPr>
                <w:b/>
                <w:bCs/>
                <w:sz w:val="20"/>
              </w:rPr>
            </w:pPr>
            <w:r w:rsidRPr="002C1A40">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center"/>
            <w:hideMark/>
          </w:tcPr>
          <w:p w14:paraId="1E345D6D" w14:textId="77777777" w:rsidR="00755247" w:rsidRPr="002C1A40" w:rsidRDefault="00755247" w:rsidP="00A1430D">
            <w:pPr>
              <w:keepNext/>
              <w:keepLines/>
              <w:spacing w:before="0" w:after="0"/>
              <w:rPr>
                <w:b/>
                <w:bCs/>
                <w:sz w:val="20"/>
              </w:rPr>
            </w:pPr>
            <w:r w:rsidRPr="002C1A40">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center"/>
            <w:hideMark/>
          </w:tcPr>
          <w:p w14:paraId="59F0F031" w14:textId="77777777" w:rsidR="00755247" w:rsidRPr="002C1A40" w:rsidRDefault="00755247" w:rsidP="00A1430D">
            <w:pPr>
              <w:keepNext/>
              <w:keepLines/>
              <w:spacing w:before="0" w:after="0"/>
              <w:rPr>
                <w:b/>
                <w:bCs/>
                <w:sz w:val="20"/>
              </w:rPr>
            </w:pPr>
            <w:r w:rsidRPr="002C1A40">
              <w:rPr>
                <w:b/>
                <w:bCs/>
                <w:sz w:val="20"/>
              </w:rPr>
              <w:t>Sector</w:t>
            </w:r>
          </w:p>
        </w:tc>
      </w:tr>
      <w:tr w:rsidR="00755247" w:rsidRPr="002C1A40" w14:paraId="4813750F" w14:textId="77777777" w:rsidTr="7FB13BFA">
        <w:trPr>
          <w:trHeight w:val="290"/>
        </w:trPr>
        <w:tc>
          <w:tcPr>
            <w:tcW w:w="3024" w:type="dxa"/>
            <w:noWrap/>
            <w:tcMar>
              <w:top w:w="0" w:type="dxa"/>
              <w:left w:w="108" w:type="dxa"/>
              <w:bottom w:w="0" w:type="dxa"/>
              <w:right w:w="108" w:type="dxa"/>
            </w:tcMar>
            <w:vAlign w:val="center"/>
          </w:tcPr>
          <w:p w14:paraId="04C0CCD8" w14:textId="09D5967B" w:rsidR="00755247" w:rsidRPr="002C1A40" w:rsidRDefault="00F65BBE" w:rsidP="00A1430D">
            <w:pPr>
              <w:spacing w:before="0" w:after="0"/>
              <w:rPr>
                <w:sz w:val="20"/>
              </w:rPr>
            </w:pPr>
            <w:r w:rsidRPr="002C1A40">
              <w:rPr>
                <w:rFonts w:cs="Calibri Light"/>
                <w:szCs w:val="22"/>
              </w:rPr>
              <w:t>Add-on equipment</w:t>
            </w:r>
          </w:p>
        </w:tc>
        <w:tc>
          <w:tcPr>
            <w:tcW w:w="3024" w:type="dxa"/>
            <w:noWrap/>
            <w:tcMar>
              <w:top w:w="0" w:type="dxa"/>
              <w:left w:w="108" w:type="dxa"/>
              <w:bottom w:w="0" w:type="dxa"/>
              <w:right w:w="108" w:type="dxa"/>
            </w:tcMar>
            <w:vAlign w:val="center"/>
          </w:tcPr>
          <w:p w14:paraId="737F1F7B" w14:textId="11FAE1C8" w:rsidR="00755247" w:rsidRPr="002C1A40" w:rsidRDefault="00A1430D" w:rsidP="00A1430D">
            <w:pPr>
              <w:spacing w:before="0" w:after="0"/>
              <w:rPr>
                <w:sz w:val="20"/>
              </w:rPr>
            </w:pPr>
            <w:proofErr w:type="spellStart"/>
            <w:r w:rsidRPr="002C1A40">
              <w:rPr>
                <w:sz w:val="20"/>
              </w:rPr>
              <w:t>DnDeemDI</w:t>
            </w:r>
            <w:proofErr w:type="spellEnd"/>
          </w:p>
        </w:tc>
        <w:tc>
          <w:tcPr>
            <w:tcW w:w="3024" w:type="dxa"/>
            <w:noWrap/>
            <w:tcMar>
              <w:top w:w="0" w:type="dxa"/>
              <w:left w:w="108" w:type="dxa"/>
              <w:bottom w:w="0" w:type="dxa"/>
              <w:right w:w="108" w:type="dxa"/>
            </w:tcMar>
            <w:vAlign w:val="center"/>
          </w:tcPr>
          <w:p w14:paraId="6EE7A78B" w14:textId="6F2AEBC0" w:rsidR="00755247" w:rsidRPr="002C1A40" w:rsidRDefault="00755247" w:rsidP="00A1430D">
            <w:pPr>
              <w:spacing w:before="0" w:after="0"/>
              <w:rPr>
                <w:sz w:val="20"/>
              </w:rPr>
            </w:pPr>
            <w:r w:rsidRPr="002C1A40">
              <w:rPr>
                <w:rFonts w:cs="Calibri Light"/>
                <w:szCs w:val="22"/>
              </w:rPr>
              <w:t>Res</w:t>
            </w:r>
          </w:p>
        </w:tc>
      </w:tr>
      <w:tr w:rsidR="00F65BBE" w:rsidRPr="002C1A40" w14:paraId="3E956EB7" w14:textId="77777777" w:rsidTr="7FB13BFA">
        <w:trPr>
          <w:trHeight w:val="290"/>
        </w:trPr>
        <w:tc>
          <w:tcPr>
            <w:tcW w:w="3024" w:type="dxa"/>
            <w:noWrap/>
            <w:tcMar>
              <w:top w:w="0" w:type="dxa"/>
              <w:left w:w="108" w:type="dxa"/>
              <w:bottom w:w="0" w:type="dxa"/>
              <w:right w:w="108" w:type="dxa"/>
            </w:tcMar>
            <w:vAlign w:val="center"/>
          </w:tcPr>
          <w:p w14:paraId="2D7E9A24" w14:textId="61FA921C" w:rsidR="00F65BBE" w:rsidRPr="002C1A40" w:rsidRDefault="00F65BBE" w:rsidP="00A1430D">
            <w:pPr>
              <w:spacing w:before="0" w:after="0"/>
              <w:rPr>
                <w:sz w:val="20"/>
              </w:rPr>
            </w:pPr>
            <w:r w:rsidRPr="002C1A40">
              <w:rPr>
                <w:rFonts w:cs="Calibri Light"/>
                <w:szCs w:val="22"/>
              </w:rPr>
              <w:t>Add-on equipment</w:t>
            </w:r>
          </w:p>
        </w:tc>
        <w:tc>
          <w:tcPr>
            <w:tcW w:w="3024" w:type="dxa"/>
            <w:noWrap/>
            <w:tcMar>
              <w:top w:w="0" w:type="dxa"/>
              <w:left w:w="108" w:type="dxa"/>
              <w:bottom w:w="0" w:type="dxa"/>
              <w:right w:w="108" w:type="dxa"/>
            </w:tcMar>
            <w:vAlign w:val="center"/>
          </w:tcPr>
          <w:p w14:paraId="6CEC1AD0" w14:textId="6DEF7E45" w:rsidR="00F65BBE" w:rsidRPr="002C1A40" w:rsidRDefault="00A1430D" w:rsidP="00A1430D">
            <w:pPr>
              <w:spacing w:before="0" w:after="0"/>
              <w:rPr>
                <w:sz w:val="20"/>
              </w:rPr>
            </w:pPr>
            <w:proofErr w:type="spellStart"/>
            <w:r w:rsidRPr="002C1A40">
              <w:rPr>
                <w:sz w:val="20"/>
              </w:rPr>
              <w:t>UpDeemed</w:t>
            </w:r>
            <w:proofErr w:type="spellEnd"/>
          </w:p>
        </w:tc>
        <w:tc>
          <w:tcPr>
            <w:tcW w:w="3024" w:type="dxa"/>
            <w:noWrap/>
            <w:tcMar>
              <w:top w:w="0" w:type="dxa"/>
              <w:left w:w="108" w:type="dxa"/>
              <w:bottom w:w="0" w:type="dxa"/>
              <w:right w:w="108" w:type="dxa"/>
            </w:tcMar>
            <w:vAlign w:val="center"/>
          </w:tcPr>
          <w:p w14:paraId="38CD7F32" w14:textId="067A0502" w:rsidR="00F65BBE" w:rsidRPr="002C1A40" w:rsidRDefault="00525E74" w:rsidP="00A1430D">
            <w:pPr>
              <w:spacing w:before="0" w:after="0"/>
              <w:rPr>
                <w:sz w:val="20"/>
              </w:rPr>
            </w:pPr>
            <w:r w:rsidRPr="002C1A40">
              <w:rPr>
                <w:rFonts w:cs="Calibri Light"/>
                <w:szCs w:val="22"/>
              </w:rPr>
              <w:t>Res</w:t>
            </w:r>
          </w:p>
        </w:tc>
      </w:tr>
      <w:tr w:rsidR="004D54B3" w:rsidRPr="002C1A40" w14:paraId="061A683F" w14:textId="77777777" w:rsidTr="7FB13BFA">
        <w:trPr>
          <w:trHeight w:val="290"/>
        </w:trPr>
        <w:tc>
          <w:tcPr>
            <w:tcW w:w="3024" w:type="dxa"/>
            <w:noWrap/>
            <w:tcMar>
              <w:top w:w="0" w:type="dxa"/>
              <w:left w:w="108" w:type="dxa"/>
              <w:bottom w:w="0" w:type="dxa"/>
              <w:right w:w="108" w:type="dxa"/>
            </w:tcMar>
            <w:vAlign w:val="center"/>
          </w:tcPr>
          <w:p w14:paraId="264DC23A" w14:textId="05D3A0F6" w:rsidR="004D54B3" w:rsidRPr="002C1A40" w:rsidRDefault="004D54B3" w:rsidP="00A1430D">
            <w:pPr>
              <w:spacing w:before="0" w:after="0"/>
              <w:rPr>
                <w:rFonts w:cs="Calibri Light"/>
                <w:szCs w:val="22"/>
              </w:rPr>
            </w:pPr>
            <w:r w:rsidRPr="002C1A40">
              <w:rPr>
                <w:rFonts w:cs="Calibri Light"/>
                <w:szCs w:val="22"/>
              </w:rPr>
              <w:t>Add-on equipment</w:t>
            </w:r>
          </w:p>
        </w:tc>
        <w:tc>
          <w:tcPr>
            <w:tcW w:w="3024" w:type="dxa"/>
            <w:noWrap/>
            <w:tcMar>
              <w:top w:w="0" w:type="dxa"/>
              <w:left w:w="108" w:type="dxa"/>
              <w:bottom w:w="0" w:type="dxa"/>
              <w:right w:w="108" w:type="dxa"/>
            </w:tcMar>
            <w:vAlign w:val="center"/>
          </w:tcPr>
          <w:p w14:paraId="1020ECA3" w14:textId="004D92AE" w:rsidR="004D54B3" w:rsidRPr="002C1A40" w:rsidRDefault="00865BF9" w:rsidP="00A1430D">
            <w:pPr>
              <w:spacing w:before="0" w:after="0"/>
              <w:rPr>
                <w:sz w:val="20"/>
              </w:rPr>
            </w:pPr>
            <w:proofErr w:type="spellStart"/>
            <w:r>
              <w:rPr>
                <w:sz w:val="20"/>
              </w:rPr>
              <w:t>DnDeemed</w:t>
            </w:r>
            <w:proofErr w:type="spellEnd"/>
          </w:p>
        </w:tc>
        <w:tc>
          <w:tcPr>
            <w:tcW w:w="3024" w:type="dxa"/>
            <w:noWrap/>
            <w:tcMar>
              <w:top w:w="0" w:type="dxa"/>
              <w:left w:w="108" w:type="dxa"/>
              <w:bottom w:w="0" w:type="dxa"/>
              <w:right w:w="108" w:type="dxa"/>
            </w:tcMar>
            <w:vAlign w:val="center"/>
          </w:tcPr>
          <w:p w14:paraId="5A22DA37" w14:textId="0CD00745" w:rsidR="004D54B3" w:rsidRPr="002C1A40" w:rsidRDefault="00865BF9" w:rsidP="00A1430D">
            <w:pPr>
              <w:spacing w:before="0" w:after="0"/>
              <w:rPr>
                <w:rFonts w:cs="Calibri Light"/>
                <w:szCs w:val="22"/>
              </w:rPr>
            </w:pPr>
            <w:r>
              <w:rPr>
                <w:rFonts w:cs="Calibri Light"/>
                <w:szCs w:val="22"/>
              </w:rPr>
              <w:t>Res</w:t>
            </w:r>
          </w:p>
        </w:tc>
      </w:tr>
      <w:tr w:rsidR="00525E74" w:rsidRPr="002C1A40" w14:paraId="28446869" w14:textId="77777777" w:rsidTr="7FB13BFA">
        <w:trPr>
          <w:trHeight w:val="290"/>
        </w:trPr>
        <w:tc>
          <w:tcPr>
            <w:tcW w:w="3024" w:type="dxa"/>
            <w:noWrap/>
            <w:tcMar>
              <w:top w:w="0" w:type="dxa"/>
              <w:left w:w="108" w:type="dxa"/>
              <w:bottom w:w="0" w:type="dxa"/>
              <w:right w:w="108" w:type="dxa"/>
            </w:tcMar>
            <w:vAlign w:val="center"/>
          </w:tcPr>
          <w:p w14:paraId="150AD3F2" w14:textId="4B090936" w:rsidR="00525E74" w:rsidRPr="002C1A40" w:rsidRDefault="00525E74" w:rsidP="00525E74">
            <w:pPr>
              <w:spacing w:before="0" w:after="0"/>
              <w:rPr>
                <w:rFonts w:cs="Calibri Light"/>
                <w:szCs w:val="22"/>
              </w:rPr>
            </w:pPr>
            <w:r w:rsidRPr="002C1A40">
              <w:rPr>
                <w:rFonts w:cs="Calibri Light"/>
                <w:szCs w:val="22"/>
              </w:rPr>
              <w:t>Accelerated replacement</w:t>
            </w:r>
          </w:p>
        </w:tc>
        <w:tc>
          <w:tcPr>
            <w:tcW w:w="3024" w:type="dxa"/>
            <w:noWrap/>
            <w:tcMar>
              <w:top w:w="0" w:type="dxa"/>
              <w:left w:w="108" w:type="dxa"/>
              <w:bottom w:w="0" w:type="dxa"/>
              <w:right w:w="108" w:type="dxa"/>
            </w:tcMar>
            <w:vAlign w:val="center"/>
          </w:tcPr>
          <w:p w14:paraId="5B71A8A7" w14:textId="0E178DA2" w:rsidR="00525E74" w:rsidRPr="002C1A40" w:rsidRDefault="00525E74" w:rsidP="00525E74">
            <w:pPr>
              <w:spacing w:before="0" w:after="0"/>
              <w:rPr>
                <w:sz w:val="20"/>
              </w:rPr>
            </w:pPr>
            <w:proofErr w:type="spellStart"/>
            <w:r w:rsidRPr="002C1A40">
              <w:rPr>
                <w:sz w:val="20"/>
              </w:rPr>
              <w:t>DnDeemDI</w:t>
            </w:r>
            <w:proofErr w:type="spellEnd"/>
          </w:p>
        </w:tc>
        <w:tc>
          <w:tcPr>
            <w:tcW w:w="3024" w:type="dxa"/>
            <w:noWrap/>
            <w:tcMar>
              <w:top w:w="0" w:type="dxa"/>
              <w:left w:w="108" w:type="dxa"/>
              <w:bottom w:w="0" w:type="dxa"/>
              <w:right w:w="108" w:type="dxa"/>
            </w:tcMar>
            <w:vAlign w:val="center"/>
          </w:tcPr>
          <w:p w14:paraId="32600249" w14:textId="419EDC66" w:rsidR="00525E74" w:rsidRPr="002C1A40" w:rsidRDefault="00525E74" w:rsidP="00525E74">
            <w:pPr>
              <w:spacing w:before="0" w:after="0"/>
              <w:rPr>
                <w:rFonts w:cs="Calibri Light"/>
                <w:szCs w:val="22"/>
              </w:rPr>
            </w:pPr>
            <w:r w:rsidRPr="002C1A40">
              <w:rPr>
                <w:rFonts w:cs="Calibri Light"/>
                <w:szCs w:val="22"/>
              </w:rPr>
              <w:t>Res</w:t>
            </w:r>
          </w:p>
        </w:tc>
      </w:tr>
    </w:tbl>
    <w:p w14:paraId="499221CB" w14:textId="77777777" w:rsidR="007D5AD5" w:rsidRDefault="007D5AD5" w:rsidP="7FB13BFA">
      <w:pPr>
        <w:rPr>
          <w:rFonts w:eastAsia="Calibri Light" w:cs="Calibri Light"/>
          <w:szCs w:val="22"/>
        </w:rPr>
      </w:pPr>
    </w:p>
    <w:p w14:paraId="16300730" w14:textId="0CF26179" w:rsidR="213909E0" w:rsidRPr="002C1A40" w:rsidRDefault="7FB13BFA" w:rsidP="7FB13BFA">
      <w:r w:rsidRPr="002C1A40">
        <w:rPr>
          <w:rFonts w:eastAsia="Calibri Light" w:cs="Calibri Light"/>
          <w:szCs w:val="22"/>
        </w:rPr>
        <w:t xml:space="preserve">For </w:t>
      </w:r>
      <w:r w:rsidRPr="002C1A40">
        <w:rPr>
          <w:rFonts w:eastAsia="Calibri Light" w:cs="Calibri Light"/>
          <w:i/>
          <w:iCs/>
          <w:szCs w:val="22"/>
        </w:rPr>
        <w:t xml:space="preserve">accelerated replacement </w:t>
      </w:r>
      <w:r w:rsidRPr="002C1A40">
        <w:rPr>
          <w:rFonts w:eastAsia="Calibri Light" w:cs="Calibri Light"/>
          <w:szCs w:val="22"/>
        </w:rPr>
        <w:t>application types, this measure adopts the program-level “Preponderance of Evidence Assessment” described in Version 2.0 of the Accelerated Replacement Using Preponderance of Evidence report developed by the utilities and stakeholders to provide guidance for the California programs (“POEV 2.0”, see Section 7)</w:t>
      </w:r>
      <w:r w:rsidR="213909E0" w:rsidRPr="002C1A40">
        <w:rPr>
          <w:rStyle w:val="FootnoteReference"/>
        </w:rPr>
        <w:footnoteReference w:id="4"/>
      </w:r>
      <w:r w:rsidRPr="002C1A40">
        <w:rPr>
          <w:rFonts w:eastAsia="Calibri Light" w:cs="Calibri Light"/>
          <w:szCs w:val="22"/>
        </w:rPr>
        <w:t xml:space="preserve">.  “Continued viability” and “program influence” must be demonstrated as the evidence of accelerated replacement.  </w:t>
      </w:r>
    </w:p>
    <w:p w14:paraId="1A252B0B" w14:textId="2F486528" w:rsidR="213909E0" w:rsidRPr="002C1A40" w:rsidRDefault="213909E0">
      <w:r w:rsidRPr="002C1A40">
        <w:rPr>
          <w:rFonts w:eastAsia="Calibri Light" w:cs="Calibri Light"/>
          <w:szCs w:val="22"/>
        </w:rPr>
        <w:lastRenderedPageBreak/>
        <w:t>To demonstrate the viability of the pre-existing system or to show that the program is replacing equipment that is “installed and operating,” the customer must be approached by a direct install implementer. Additionally, the program must obtain and provide additional documentation, including (but not limited to) the following:</w:t>
      </w:r>
    </w:p>
    <w:p w14:paraId="3A7EE23A" w14:textId="717676A2" w:rsidR="213909E0" w:rsidRPr="002C1A40" w:rsidRDefault="213909E0" w:rsidP="00D50CE5">
      <w:pPr>
        <w:pStyle w:val="eTRMBulletedText"/>
      </w:pPr>
      <w:r w:rsidRPr="002C1A40">
        <w:t>Targeted segment of the market or customers</w:t>
      </w:r>
    </w:p>
    <w:p w14:paraId="5423811E" w14:textId="68B223DA" w:rsidR="213909E0" w:rsidRPr="002C1A40" w:rsidRDefault="213909E0" w:rsidP="00D50CE5">
      <w:pPr>
        <w:pStyle w:val="eTRMBulletedText"/>
      </w:pPr>
      <w:r w:rsidRPr="002C1A40">
        <w:t>Customer/site information</w:t>
      </w:r>
    </w:p>
    <w:p w14:paraId="08663D5B" w14:textId="15165DE8" w:rsidR="213909E0" w:rsidRPr="002C1A40" w:rsidRDefault="213909E0" w:rsidP="00D50CE5">
      <w:pPr>
        <w:pStyle w:val="eTRMBulletedText"/>
      </w:pPr>
      <w:r w:rsidRPr="002C1A40">
        <w:t>Make/model of pre-existing equipment and/or</w:t>
      </w:r>
    </w:p>
    <w:p w14:paraId="30358085" w14:textId="161D3C7D" w:rsidR="213909E0" w:rsidRPr="002C1A40" w:rsidRDefault="213909E0" w:rsidP="00D50CE5">
      <w:pPr>
        <w:pStyle w:val="eTRMBulletedText"/>
      </w:pPr>
      <w:r w:rsidRPr="002C1A40">
        <w:t>Performance/flowrate measurements of pre-existing equipment, and/or</w:t>
      </w:r>
    </w:p>
    <w:p w14:paraId="16A3071A" w14:textId="7AA64B84" w:rsidR="213909E0" w:rsidRPr="002C1A40" w:rsidRDefault="213909E0" w:rsidP="00D50CE5">
      <w:pPr>
        <w:pStyle w:val="eTRMBulletedText"/>
      </w:pPr>
      <w:r w:rsidRPr="002C1A40">
        <w:t>Photograph of pre-existing equipment in place and operating</w:t>
      </w:r>
    </w:p>
    <w:p w14:paraId="6592F469" w14:textId="7BE17572" w:rsidR="213909E0" w:rsidRPr="002C1A40" w:rsidRDefault="213909E0">
      <w:r w:rsidRPr="002C1A40">
        <w:rPr>
          <w:rFonts w:eastAsia="Calibri Light" w:cs="Calibri Light"/>
          <w:szCs w:val="22"/>
        </w:rPr>
        <w:t>Program influence evidence can be demonstrated through one of the three alternatives listed in Section 7.3 of POEV 2.0.  This measure establishes the program-level evidence of program influence by adopting the net-to-gross (NTG) ratio from prior program evaluation results.</w:t>
      </w:r>
    </w:p>
    <w:p w14:paraId="44899F41" w14:textId="7457A925" w:rsidR="213909E0" w:rsidRPr="002C1A40" w:rsidRDefault="213909E0" w:rsidP="213909E0">
      <w:r w:rsidRPr="002C1A40">
        <w:rPr>
          <w:rFonts w:eastAsia="Calibri Light" w:cs="Calibri Light"/>
          <w:szCs w:val="22"/>
        </w:rPr>
        <w:t>Specific documentation requirements will be determined by the program administrator and will be specified in the program implementation plan.</w:t>
      </w:r>
    </w:p>
    <w:p w14:paraId="37D16113" w14:textId="77777777" w:rsidR="00332B1F" w:rsidRPr="002C1A40" w:rsidRDefault="00332B1F" w:rsidP="00755247"/>
    <w:p w14:paraId="50711562" w14:textId="5D73E3E0" w:rsidR="00AA46AF" w:rsidRPr="002C1A40" w:rsidRDefault="00196649" w:rsidP="00154391">
      <w:pPr>
        <w:pStyle w:val="eTRMHeading5"/>
      </w:pPr>
      <w:r w:rsidRPr="002C1A40">
        <w:t>Eligible Products</w:t>
      </w:r>
    </w:p>
    <w:p w14:paraId="03524521" w14:textId="77777777" w:rsidR="00423E37" w:rsidRPr="002C1A40" w:rsidRDefault="00423E37" w:rsidP="00423E37">
      <w:r w:rsidRPr="002C1A40">
        <w:t xml:space="preserve">The existing faucet must have a flow rate of at least 2.2 </w:t>
      </w:r>
      <w:proofErr w:type="spellStart"/>
      <w:r w:rsidRPr="002C1A40">
        <w:t>gpm</w:t>
      </w:r>
      <w:proofErr w:type="spellEnd"/>
      <w:r w:rsidRPr="002C1A40">
        <w:t>.</w:t>
      </w:r>
    </w:p>
    <w:p w14:paraId="5633C9AB" w14:textId="5BB0AF0B" w:rsidR="00E3059B" w:rsidRPr="002C1A40" w:rsidRDefault="7FB13BFA" w:rsidP="002942B0">
      <w:r w:rsidRPr="002C1A40">
        <w:t xml:space="preserve">The low-flow faucet aerator and </w:t>
      </w:r>
      <w:r w:rsidR="007F12EE" w:rsidRPr="002C1A40">
        <w:t>flow control valve (</w:t>
      </w:r>
      <w:r w:rsidRPr="002C1A40">
        <w:t>FCV</w:t>
      </w:r>
      <w:r w:rsidR="007F12EE" w:rsidRPr="002C1A40">
        <w:t xml:space="preserve">) </w:t>
      </w:r>
      <w:r w:rsidRPr="002C1A40">
        <w:t xml:space="preserve">must be installed on an existing faucet with a flow rate that complies with the Measure Case Specification. </w:t>
      </w:r>
    </w:p>
    <w:p w14:paraId="1128E9BD" w14:textId="24382545" w:rsidR="00600998" w:rsidRPr="002C1A40" w:rsidRDefault="00600998" w:rsidP="002942B0">
      <w:r w:rsidRPr="002C1A40">
        <w:t xml:space="preserve">For FCV, combined water flow rate must meet the measure flow requirements. </w:t>
      </w:r>
      <w:r w:rsidRPr="002C1A40">
        <w:rPr>
          <w:rFonts w:cstheme="minorHAnsi"/>
          <w:szCs w:val="22"/>
        </w:rPr>
        <w:t>FCV make, model number and flow rate must be included with a copy of the invoice</w:t>
      </w:r>
    </w:p>
    <w:p w14:paraId="54AF4A3E" w14:textId="618E7795" w:rsidR="003A561F" w:rsidRDefault="00E3059B" w:rsidP="002942B0">
      <w:r w:rsidRPr="002C1A40">
        <w:t xml:space="preserve">For </w:t>
      </w:r>
      <w:r w:rsidRPr="002C1A40">
        <w:rPr>
          <w:i/>
        </w:rPr>
        <w:t>accelerated replacement application types</w:t>
      </w:r>
      <w:r w:rsidRPr="002C1A40">
        <w:t>, t</w:t>
      </w:r>
      <w:r w:rsidR="006E593D" w:rsidRPr="002C1A40">
        <w:t xml:space="preserve">he retrofit faucet </w:t>
      </w:r>
      <w:r w:rsidRPr="002C1A40">
        <w:t>must</w:t>
      </w:r>
      <w:r w:rsidR="006E593D">
        <w:t xml:space="preserve"> have an existing faucet aerator</w:t>
      </w:r>
      <w:r>
        <w:t xml:space="preserve">. </w:t>
      </w:r>
    </w:p>
    <w:p w14:paraId="1D62512A" w14:textId="62EDB7C1" w:rsidR="002942B0" w:rsidRDefault="00E3059B" w:rsidP="002942B0">
      <w:r>
        <w:t xml:space="preserve">For </w:t>
      </w:r>
      <w:r w:rsidRPr="00E3059B">
        <w:rPr>
          <w:i/>
        </w:rPr>
        <w:t>all other application types</w:t>
      </w:r>
      <w:r>
        <w:t xml:space="preserve">, the faucet must not have an </w:t>
      </w:r>
      <w:r w:rsidR="006E593D">
        <w:t>aerator installed.</w:t>
      </w:r>
    </w:p>
    <w:p w14:paraId="33FDABD5" w14:textId="77777777" w:rsidR="000B726B" w:rsidRDefault="000B726B" w:rsidP="002942B0"/>
    <w:p w14:paraId="7CE938DA" w14:textId="038FBAFB" w:rsidR="007B6A74" w:rsidRDefault="007B6A74" w:rsidP="00401C43">
      <w:pPr>
        <w:pStyle w:val="eTRMHeading5"/>
      </w:pPr>
      <w:r w:rsidRPr="00401C43">
        <w:t>Eligible Building Types</w:t>
      </w:r>
    </w:p>
    <w:p w14:paraId="3C04D313" w14:textId="18E5F453" w:rsidR="006F69EC" w:rsidRDefault="006F69EC" w:rsidP="006F69EC">
      <w:r>
        <w:t xml:space="preserve">Eligible building types include </w:t>
      </w:r>
      <w:r w:rsidR="00BE4E8D">
        <w:t xml:space="preserve">all </w:t>
      </w:r>
      <w:r w:rsidR="00276049">
        <w:t xml:space="preserve">existing </w:t>
      </w:r>
      <w:r>
        <w:t xml:space="preserve">residential buildings </w:t>
      </w:r>
      <w:r w:rsidR="00276049">
        <w:t xml:space="preserve">of any vintage </w:t>
      </w:r>
      <w:r>
        <w:t xml:space="preserve">with </w:t>
      </w:r>
      <w:r w:rsidR="00BE4E8D">
        <w:t>a natural gas</w:t>
      </w:r>
      <w:r w:rsidR="00102E56">
        <w:t xml:space="preserve"> or electric</w:t>
      </w:r>
      <w:r w:rsidR="00BE4E8D">
        <w:t xml:space="preserve"> </w:t>
      </w:r>
      <w:r>
        <w:t>water heater</w:t>
      </w:r>
      <w:r w:rsidR="00BE4E8D">
        <w:t xml:space="preserve">, including </w:t>
      </w:r>
      <w:r>
        <w:t>single</w:t>
      </w:r>
      <w:r w:rsidR="002671D7">
        <w:t xml:space="preserve"> </w:t>
      </w:r>
      <w:r>
        <w:t xml:space="preserve">family, multifamily, and </w:t>
      </w:r>
      <w:r w:rsidR="00F65BBE">
        <w:t xml:space="preserve">double-wide </w:t>
      </w:r>
      <w:r>
        <w:t>mobile homes.</w:t>
      </w:r>
    </w:p>
    <w:p w14:paraId="3837498C" w14:textId="77777777" w:rsidR="00BE4E8D" w:rsidRPr="006F69EC" w:rsidRDefault="00BE4E8D" w:rsidP="006F69EC"/>
    <w:p w14:paraId="1A3705F3" w14:textId="4BC0985D" w:rsidR="007B6A74" w:rsidRPr="004B06E3" w:rsidRDefault="00196649" w:rsidP="00154391">
      <w:pPr>
        <w:pStyle w:val="eTRMHeading5"/>
      </w:pPr>
      <w:r>
        <w:t>Eligible Climate Zones</w:t>
      </w:r>
    </w:p>
    <w:p w14:paraId="1A47F2D4" w14:textId="77777777" w:rsidR="006F69EC" w:rsidRPr="00D44FD4" w:rsidRDefault="006F69EC" w:rsidP="006F69EC">
      <w:r>
        <w:t>The measure is applicable in all 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37" w:name="_Toc486490853"/>
      <w:bookmarkStart w:id="38" w:name="_Toc486580924"/>
      <w:bookmarkStart w:id="39" w:name="_Toc12567165"/>
      <w:r w:rsidRPr="004B06E3">
        <w:t>Program Exclusions</w:t>
      </w:r>
      <w:bookmarkEnd w:id="37"/>
      <w:bookmarkEnd w:id="38"/>
      <w:bookmarkEnd w:id="39"/>
      <w:r w:rsidRPr="004B06E3">
        <w:t xml:space="preserve"> </w:t>
      </w:r>
    </w:p>
    <w:p w14:paraId="0A4BE600" w14:textId="7790A156" w:rsidR="00C613E7" w:rsidRPr="002C1A40" w:rsidRDefault="7FB13BFA" w:rsidP="00C613E7">
      <w:r>
        <w:t xml:space="preserve">The measure is not </w:t>
      </w:r>
      <w:r w:rsidRPr="002C1A40">
        <w:t xml:space="preserve">applicable to new faucets that meet or exceed the 2016 California Appliance Efficiency Regulations (Title 20) code requirement of 1.2 </w:t>
      </w:r>
      <w:proofErr w:type="spellStart"/>
      <w:r w:rsidRPr="002C1A40">
        <w:t>gpm</w:t>
      </w:r>
      <w:proofErr w:type="spellEnd"/>
      <w:r w:rsidRPr="002C1A40">
        <w:t xml:space="preserve"> flow rate</w:t>
      </w:r>
      <w:r w:rsidR="00B96ABC" w:rsidRPr="002C1A40">
        <w:t xml:space="preserve"> for lavatory faucet and 1.8 </w:t>
      </w:r>
      <w:proofErr w:type="spellStart"/>
      <w:r w:rsidR="00B96ABC" w:rsidRPr="002C1A40">
        <w:t>gpm</w:t>
      </w:r>
      <w:proofErr w:type="spellEnd"/>
      <w:r w:rsidR="00B96ABC" w:rsidRPr="002C1A40">
        <w:t xml:space="preserve"> flow rate for kitchen faucet</w:t>
      </w:r>
      <w:r w:rsidRPr="002C1A40">
        <w:t>.</w:t>
      </w:r>
    </w:p>
    <w:p w14:paraId="76A9A64F" w14:textId="542B6F21" w:rsidR="007B6A74" w:rsidRPr="002C1A40" w:rsidRDefault="007B6A74" w:rsidP="004B06E3"/>
    <w:p w14:paraId="655E299F" w14:textId="77777777" w:rsidR="007D230B" w:rsidRPr="004B06E3" w:rsidRDefault="007D230B" w:rsidP="00462BB6">
      <w:pPr>
        <w:pStyle w:val="eTRMHeading3"/>
      </w:pPr>
      <w:bookmarkStart w:id="40" w:name="_Toc486490854"/>
      <w:bookmarkStart w:id="41" w:name="_Toc486580925"/>
      <w:bookmarkStart w:id="42" w:name="_Toc12567166"/>
      <w:r w:rsidRPr="002C1A40">
        <w:lastRenderedPageBreak/>
        <w:t>Data Collection Requirements</w:t>
      </w:r>
      <w:bookmarkEnd w:id="40"/>
      <w:bookmarkEnd w:id="41"/>
      <w:bookmarkEnd w:id="42"/>
      <w:r w:rsidRPr="004B06E3">
        <w:t xml:space="preserve"> </w:t>
      </w:r>
    </w:p>
    <w:p w14:paraId="73470AB1" w14:textId="3D8531B4" w:rsidR="0050308E" w:rsidRDefault="00730540" w:rsidP="0050308E">
      <w:bookmarkStart w:id="43" w:name="_Hlk522715093"/>
      <w:bookmarkStart w:id="44" w:name="_Hlk511816372"/>
      <w:r>
        <w:t>Data collection requirements are to be determined.</w:t>
      </w:r>
    </w:p>
    <w:bookmarkEnd w:id="43"/>
    <w:p w14:paraId="39D091B2" w14:textId="77777777" w:rsidR="00730540" w:rsidRPr="004B06E3" w:rsidRDefault="00730540" w:rsidP="0050308E"/>
    <w:p w14:paraId="4891FCAB" w14:textId="77777777" w:rsidR="007D230B" w:rsidRPr="004B06E3" w:rsidRDefault="007D230B" w:rsidP="00462BB6">
      <w:pPr>
        <w:pStyle w:val="eTRMHeading3"/>
      </w:pPr>
      <w:bookmarkStart w:id="45" w:name="_Toc486490855"/>
      <w:bookmarkStart w:id="46" w:name="_Toc486580926"/>
      <w:bookmarkStart w:id="47" w:name="_Toc12567167"/>
      <w:bookmarkEnd w:id="44"/>
      <w:r w:rsidRPr="004B06E3">
        <w:t>Use Category</w:t>
      </w:r>
      <w:bookmarkEnd w:id="45"/>
      <w:bookmarkEnd w:id="46"/>
      <w:bookmarkEnd w:id="47"/>
    </w:p>
    <w:p w14:paraId="34FC252C" w14:textId="1812BF2A" w:rsidR="00BA77AA" w:rsidRPr="00BA77AA" w:rsidRDefault="0050308E" w:rsidP="000B726B">
      <w:r>
        <w:t xml:space="preserve">Service </w:t>
      </w:r>
      <w:r w:rsidR="009C3D9D">
        <w:t>&amp;</w:t>
      </w:r>
      <w:r w:rsidR="00D8458F">
        <w:t xml:space="preserve"> </w:t>
      </w:r>
      <w:r w:rsidR="009C3D9D">
        <w:t>D</w:t>
      </w:r>
      <w:r w:rsidR="00D8458F">
        <w:t xml:space="preserve">omestic </w:t>
      </w:r>
      <w:r w:rsidR="009C3D9D">
        <w:t>H</w:t>
      </w:r>
      <w:r>
        <w:t xml:space="preserve">ot </w:t>
      </w:r>
      <w:r w:rsidR="009C3D9D">
        <w:t>W</w:t>
      </w:r>
      <w:r>
        <w:t>ater</w:t>
      </w:r>
      <w:r w:rsidR="00BA77AA" w:rsidRPr="00BA77AA">
        <w:t xml:space="preserve"> </w:t>
      </w:r>
    </w:p>
    <w:p w14:paraId="482ADAA8" w14:textId="77777777" w:rsidR="00BA77AA" w:rsidRPr="00BA77AA" w:rsidRDefault="00BA77AA" w:rsidP="00BA77AA">
      <w:pPr>
        <w:tabs>
          <w:tab w:val="left" w:pos="180"/>
          <w:tab w:val="left" w:pos="360"/>
        </w:tabs>
        <w:adjustRightInd w:val="0"/>
        <w:spacing w:before="20" w:after="0" w:line="180" w:lineRule="atLeast"/>
        <w:contextualSpacing/>
        <w:rPr>
          <w:color w:val="808080" w:themeColor="background1" w:themeShade="80"/>
          <w:sz w:val="18"/>
          <w:szCs w:val="18"/>
        </w:rPr>
      </w:pPr>
    </w:p>
    <w:p w14:paraId="4B62D367" w14:textId="370A839E" w:rsidR="007D230B" w:rsidRPr="004B06E3" w:rsidRDefault="007D230B" w:rsidP="00462BB6">
      <w:pPr>
        <w:pStyle w:val="eTRMHeading3"/>
      </w:pPr>
      <w:bookmarkStart w:id="48" w:name="_Toc486490857"/>
      <w:bookmarkStart w:id="49" w:name="_Toc486580928"/>
      <w:bookmarkStart w:id="50" w:name="_Toc12567168"/>
      <w:r w:rsidRPr="004B06E3">
        <w:t>Electric Savings</w:t>
      </w:r>
      <w:r w:rsidR="00245AFF" w:rsidRPr="004B06E3">
        <w:t xml:space="preserve"> (</w:t>
      </w:r>
      <w:r w:rsidR="00E14349" w:rsidRPr="00730540">
        <w:rPr>
          <w:caps w:val="0"/>
        </w:rPr>
        <w:t>k</w:t>
      </w:r>
      <w:r w:rsidR="00245AFF" w:rsidRPr="00730540">
        <w:rPr>
          <w:caps w:val="0"/>
        </w:rPr>
        <w:t>Wh</w:t>
      </w:r>
      <w:r w:rsidR="00245AFF" w:rsidRPr="004B06E3">
        <w:t>)</w:t>
      </w:r>
      <w:bookmarkEnd w:id="48"/>
      <w:bookmarkEnd w:id="49"/>
      <w:bookmarkEnd w:id="50"/>
    </w:p>
    <w:p w14:paraId="097BF247" w14:textId="2DB7E29C" w:rsidR="00C13B6B" w:rsidRDefault="00F65BBE" w:rsidP="00C13B6B">
      <w:bookmarkStart w:id="51" w:name="_Hlk511903634"/>
      <w:bookmarkStart w:id="52" w:name="_Toc486490859"/>
      <w:bookmarkStart w:id="53" w:name="_Toc486580930"/>
      <w:r>
        <w:t>T</w:t>
      </w:r>
      <w:r w:rsidR="004444AB">
        <w:t xml:space="preserve">he electric </w:t>
      </w:r>
      <w:r>
        <w:t>unit energy savings (</w:t>
      </w:r>
      <w:r w:rsidR="004444AB">
        <w:t>UES</w:t>
      </w:r>
      <w:r>
        <w:t>)</w:t>
      </w:r>
      <w:r w:rsidR="004444AB">
        <w:t xml:space="preserve"> is derived from the gas UES, the ratio of the </w:t>
      </w:r>
      <w:r w:rsidR="0071025C">
        <w:t xml:space="preserve">recovery </w:t>
      </w:r>
      <w:r w:rsidR="004444AB">
        <w:t xml:space="preserve">efficiency of a gas water heater to </w:t>
      </w:r>
      <w:r w:rsidR="0071025C">
        <w:t xml:space="preserve">that </w:t>
      </w:r>
      <w:r w:rsidR="004444AB">
        <w:t xml:space="preserve">an electric water </w:t>
      </w:r>
      <w:r w:rsidR="009D6685">
        <w:t>heater, and</w:t>
      </w:r>
      <w:r w:rsidR="004444AB">
        <w:t xml:space="preserve"> a</w:t>
      </w:r>
      <w:r w:rsidR="00FA768E">
        <w:t xml:space="preserve"> </w:t>
      </w:r>
      <w:proofErr w:type="spellStart"/>
      <w:r w:rsidR="00115F9F">
        <w:t>therm</w:t>
      </w:r>
      <w:proofErr w:type="spellEnd"/>
      <w:r w:rsidR="005B3F88">
        <w:t>-</w:t>
      </w:r>
      <w:r w:rsidR="00115F9F">
        <w:t>to</w:t>
      </w:r>
      <w:r w:rsidR="005B3F88">
        <w:t>-</w:t>
      </w:r>
      <w:r w:rsidR="00115F9F">
        <w:t>kWh</w:t>
      </w:r>
      <w:r w:rsidR="004444AB">
        <w:t xml:space="preserve"> conversion factor. </w:t>
      </w:r>
    </w:p>
    <w:p w14:paraId="3485C304" w14:textId="7CB93A53" w:rsidR="00EA77DF" w:rsidRPr="008560FF" w:rsidRDefault="004F15A9" w:rsidP="00B14D4C">
      <w:pPr>
        <w:ind w:left="72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 xml:space="preserve">kWh </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UES</m:t>
              </m:r>
            </m:e>
            <m:sub>
              <m:r>
                <w:rPr>
                  <w:rFonts w:ascii="Cambria Math" w:hAnsi="Cambria Math"/>
                  <w:sz w:val="18"/>
                </w:rPr>
                <m:t>therms</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EFF</m:t>
                  </m:r>
                </m:e>
                <m:sub>
                  <m:r>
                    <w:rPr>
                      <w:rFonts w:ascii="Cambria Math" w:hAnsi="Cambria Math"/>
                      <w:sz w:val="18"/>
                    </w:rPr>
                    <m:t>gas</m:t>
                  </m:r>
                </m:sub>
              </m:sSub>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elec</m:t>
                  </m:r>
                </m:sub>
              </m:sSub>
            </m:den>
          </m:f>
          <m:r>
            <w:rPr>
              <w:rFonts w:ascii="Cambria Math" w:hAnsi="Cambria Math"/>
              <w:sz w:val="18"/>
            </w:rPr>
            <m:t>×</m:t>
          </m:r>
          <m:f>
            <m:fPr>
              <m:ctrlPr>
                <w:rPr>
                  <w:rFonts w:ascii="Cambria Math" w:hAnsi="Cambria Math"/>
                  <w:i/>
                  <w:sz w:val="18"/>
                </w:rPr>
              </m:ctrlPr>
            </m:fPr>
            <m:num>
              <m:r>
                <w:rPr>
                  <w:rFonts w:ascii="Cambria Math" w:hAnsi="Cambria Math"/>
                  <w:sz w:val="18"/>
                </w:rPr>
                <m:t>100,000 kWh</m:t>
              </m:r>
            </m:num>
            <m:den>
              <m:r>
                <w:rPr>
                  <w:rFonts w:ascii="Cambria Math" w:hAnsi="Cambria Math"/>
                  <w:sz w:val="18"/>
                </w:rPr>
                <m:t>3,413 Btu</m:t>
              </m:r>
            </m:den>
          </m:f>
        </m:oMath>
      </m:oMathPara>
    </w:p>
    <w:p w14:paraId="01506D36" w14:textId="77777777" w:rsidR="00BF3C37" w:rsidRDefault="00BF3C37" w:rsidP="0050308E">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sidRPr="00AC4758">
        <w:rPr>
          <w:rFonts w:ascii="Cambria Math" w:hAnsi="Cambria Math" w:cs="Calibri Light"/>
          <w:i/>
          <w:sz w:val="18"/>
          <w:szCs w:val="18"/>
          <w:vertAlign w:val="subscript"/>
        </w:rPr>
        <w:t>kWh</w:t>
      </w:r>
      <w:proofErr w:type="spellEnd"/>
      <w:r>
        <w:rPr>
          <w:rFonts w:ascii="Cambria Math" w:hAnsi="Cambria Math" w:cs="Calibri Light"/>
          <w:i/>
          <w:sz w:val="18"/>
          <w:szCs w:val="18"/>
        </w:rPr>
        <w:t xml:space="preserve"> = </w:t>
      </w:r>
      <w:r>
        <w:rPr>
          <w:rFonts w:ascii="Cambria Math" w:hAnsi="Cambria Math" w:cs="Calibri Light"/>
          <w:i/>
          <w:sz w:val="18"/>
          <w:szCs w:val="18"/>
        </w:rPr>
        <w:tab/>
        <w:t>Annual electric unit energy savings (kWh/year)</w:t>
      </w:r>
    </w:p>
    <w:p w14:paraId="4111843C" w14:textId="16393743" w:rsidR="00B14D4C" w:rsidRDefault="00B14D4C" w:rsidP="0050308E">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Pr>
          <w:rFonts w:ascii="Cambria Math" w:hAnsi="Cambria Math" w:cs="Calibri Light"/>
          <w:i/>
          <w:sz w:val="18"/>
          <w:szCs w:val="18"/>
          <w:vertAlign w:val="subscript"/>
        </w:rPr>
        <w:t>therms</w:t>
      </w:r>
      <w:proofErr w:type="spellEnd"/>
      <w:r>
        <w:rPr>
          <w:rFonts w:ascii="Cambria Math" w:hAnsi="Cambria Math" w:cs="Calibri Light"/>
          <w:i/>
          <w:sz w:val="18"/>
          <w:szCs w:val="18"/>
        </w:rPr>
        <w:t xml:space="preserve"> = </w:t>
      </w:r>
      <w:r>
        <w:rPr>
          <w:rFonts w:ascii="Cambria Math" w:hAnsi="Cambria Math" w:cs="Calibri Light"/>
          <w:i/>
          <w:sz w:val="18"/>
          <w:szCs w:val="18"/>
        </w:rPr>
        <w:tab/>
        <w:t xml:space="preserve">Annual </w:t>
      </w:r>
      <w:r w:rsidR="00981312">
        <w:rPr>
          <w:rFonts w:ascii="Cambria Math" w:hAnsi="Cambria Math" w:cs="Calibri Light"/>
          <w:i/>
          <w:sz w:val="18"/>
          <w:szCs w:val="18"/>
        </w:rPr>
        <w:t>gas</w:t>
      </w:r>
      <w:r>
        <w:rPr>
          <w:rFonts w:ascii="Cambria Math" w:hAnsi="Cambria Math" w:cs="Calibri Light"/>
          <w:i/>
          <w:sz w:val="18"/>
          <w:szCs w:val="18"/>
        </w:rPr>
        <w:t xml:space="preserve"> unit energy savings (</w:t>
      </w:r>
      <w:proofErr w:type="spellStart"/>
      <w:r w:rsidR="00981312">
        <w:rPr>
          <w:rFonts w:ascii="Cambria Math" w:hAnsi="Cambria Math" w:cs="Calibri Light"/>
          <w:i/>
          <w:sz w:val="18"/>
          <w:szCs w:val="18"/>
        </w:rPr>
        <w:t>therms</w:t>
      </w:r>
      <w:proofErr w:type="spellEnd"/>
      <w:r>
        <w:rPr>
          <w:rFonts w:ascii="Cambria Math" w:hAnsi="Cambria Math" w:cs="Calibri Light"/>
          <w:i/>
          <w:sz w:val="18"/>
          <w:szCs w:val="18"/>
        </w:rPr>
        <w:t>/year)</w:t>
      </w:r>
    </w:p>
    <w:p w14:paraId="0EDB3AE2" w14:textId="686D81BA" w:rsidR="00981312" w:rsidRPr="000B726B" w:rsidRDefault="00981312" w:rsidP="0050308E">
      <w:pPr>
        <w:tabs>
          <w:tab w:val="left" w:pos="2880"/>
        </w:tabs>
        <w:spacing w:before="20" w:after="20"/>
        <w:ind w:left="1440"/>
        <w:rPr>
          <w:rFonts w:ascii="Cambria Math" w:hAnsi="Cambria Math"/>
          <w:i/>
          <w:sz w:val="18"/>
          <w:szCs w:val="18"/>
        </w:rPr>
      </w:pPr>
      <w:proofErr w:type="spellStart"/>
      <w:r>
        <w:rPr>
          <w:rFonts w:ascii="Cambria Math" w:hAnsi="Cambria Math"/>
          <w:i/>
          <w:sz w:val="18"/>
          <w:szCs w:val="18"/>
        </w:rPr>
        <w:t>EFF</w:t>
      </w:r>
      <w:r>
        <w:rPr>
          <w:rFonts w:ascii="Cambria Math" w:hAnsi="Cambria Math"/>
          <w:i/>
          <w:sz w:val="18"/>
          <w:szCs w:val="18"/>
          <w:vertAlign w:val="subscript"/>
        </w:rPr>
        <w:t>gas</w:t>
      </w:r>
      <w:proofErr w:type="spellEnd"/>
      <w:r>
        <w:rPr>
          <w:rFonts w:ascii="Cambria Math" w:hAnsi="Cambria Math"/>
          <w:i/>
          <w:sz w:val="18"/>
          <w:szCs w:val="18"/>
        </w:rPr>
        <w:t xml:space="preserve"> = </w:t>
      </w:r>
      <w:r>
        <w:rPr>
          <w:rFonts w:ascii="Cambria Math" w:hAnsi="Cambria Math"/>
          <w:i/>
          <w:sz w:val="18"/>
          <w:szCs w:val="18"/>
        </w:rPr>
        <w:tab/>
        <w:t>Min</w:t>
      </w:r>
      <w:r w:rsidR="00F65BBE">
        <w:rPr>
          <w:rFonts w:ascii="Cambria Math" w:hAnsi="Cambria Math"/>
          <w:i/>
          <w:sz w:val="18"/>
          <w:szCs w:val="18"/>
        </w:rPr>
        <w:t>imum</w:t>
      </w:r>
      <w:r>
        <w:rPr>
          <w:rFonts w:ascii="Cambria Math" w:hAnsi="Cambria Math"/>
          <w:i/>
          <w:sz w:val="18"/>
          <w:szCs w:val="18"/>
        </w:rPr>
        <w:t xml:space="preserve"> water heater efficiency</w:t>
      </w:r>
      <w:r w:rsidR="00C51153">
        <w:rPr>
          <w:rFonts w:ascii="Cambria Math" w:hAnsi="Cambria Math"/>
          <w:i/>
          <w:sz w:val="18"/>
          <w:szCs w:val="18"/>
        </w:rPr>
        <w:t xml:space="preserve"> (recovery efficiency)</w:t>
      </w:r>
      <w:r>
        <w:rPr>
          <w:rFonts w:ascii="Cambria Math" w:hAnsi="Cambria Math"/>
          <w:i/>
          <w:sz w:val="18"/>
          <w:szCs w:val="18"/>
        </w:rPr>
        <w:t xml:space="preserve">, gas </w:t>
      </w:r>
    </w:p>
    <w:p w14:paraId="01CE6282" w14:textId="4C169AC1" w:rsidR="00EA77DF" w:rsidRDefault="00EA77DF" w:rsidP="0050308E">
      <w:pPr>
        <w:tabs>
          <w:tab w:val="left" w:pos="2880"/>
        </w:tabs>
        <w:spacing w:before="20" w:after="20"/>
        <w:ind w:left="1440"/>
        <w:rPr>
          <w:rFonts w:ascii="Cambria Math" w:hAnsi="Cambria Math"/>
          <w:i/>
          <w:sz w:val="18"/>
          <w:szCs w:val="18"/>
        </w:rPr>
      </w:pPr>
      <w:proofErr w:type="spellStart"/>
      <w:r>
        <w:rPr>
          <w:rFonts w:ascii="Cambria Math" w:hAnsi="Cambria Math"/>
          <w:i/>
          <w:sz w:val="18"/>
          <w:szCs w:val="18"/>
        </w:rPr>
        <w:t>EFF</w:t>
      </w:r>
      <w:r w:rsidRPr="00C07366">
        <w:rPr>
          <w:rFonts w:ascii="Cambria Math" w:hAnsi="Cambria Math"/>
          <w:i/>
          <w:sz w:val="18"/>
          <w:szCs w:val="18"/>
          <w:vertAlign w:val="subscript"/>
        </w:rPr>
        <w:t>elec</w:t>
      </w:r>
      <w:proofErr w:type="spellEnd"/>
      <w:r>
        <w:rPr>
          <w:rFonts w:ascii="Cambria Math" w:hAnsi="Cambria Math"/>
          <w:i/>
          <w:sz w:val="18"/>
          <w:szCs w:val="18"/>
        </w:rPr>
        <w:t xml:space="preserve"> = </w:t>
      </w:r>
      <w:r>
        <w:rPr>
          <w:rFonts w:ascii="Cambria Math" w:hAnsi="Cambria Math"/>
          <w:i/>
          <w:sz w:val="18"/>
          <w:szCs w:val="18"/>
        </w:rPr>
        <w:tab/>
      </w:r>
      <w:r w:rsidR="00981312">
        <w:rPr>
          <w:rFonts w:ascii="Cambria Math" w:hAnsi="Cambria Math"/>
          <w:i/>
          <w:sz w:val="18"/>
          <w:szCs w:val="18"/>
        </w:rPr>
        <w:t>Min</w:t>
      </w:r>
      <w:r w:rsidR="00F65BBE">
        <w:rPr>
          <w:rFonts w:ascii="Cambria Math" w:hAnsi="Cambria Math"/>
          <w:i/>
          <w:sz w:val="18"/>
          <w:szCs w:val="18"/>
        </w:rPr>
        <w:t>imum</w:t>
      </w:r>
      <w:r w:rsidR="00981312">
        <w:rPr>
          <w:rFonts w:ascii="Cambria Math" w:hAnsi="Cambria Math"/>
          <w:i/>
          <w:sz w:val="18"/>
          <w:szCs w:val="18"/>
        </w:rPr>
        <w:t xml:space="preserve"> w</w:t>
      </w:r>
      <w:r>
        <w:rPr>
          <w:rFonts w:ascii="Cambria Math" w:hAnsi="Cambria Math"/>
          <w:i/>
          <w:sz w:val="18"/>
          <w:szCs w:val="18"/>
        </w:rPr>
        <w:t>ater heater efficiency</w:t>
      </w:r>
      <w:r w:rsidR="00615CFA">
        <w:rPr>
          <w:rFonts w:ascii="Cambria Math" w:hAnsi="Cambria Math"/>
          <w:i/>
          <w:sz w:val="18"/>
          <w:szCs w:val="18"/>
        </w:rPr>
        <w:t xml:space="preserve"> (recovery</w:t>
      </w:r>
      <w:r w:rsidR="005B3F88">
        <w:rPr>
          <w:rFonts w:ascii="Cambria Math" w:hAnsi="Cambria Math"/>
          <w:i/>
          <w:sz w:val="18"/>
          <w:szCs w:val="18"/>
        </w:rPr>
        <w:t xml:space="preserve"> efficiency</w:t>
      </w:r>
      <w:r w:rsidR="00615CFA">
        <w:rPr>
          <w:rFonts w:ascii="Cambria Math" w:hAnsi="Cambria Math"/>
          <w:i/>
          <w:sz w:val="18"/>
          <w:szCs w:val="18"/>
        </w:rPr>
        <w:t>)</w:t>
      </w:r>
      <w:r>
        <w:rPr>
          <w:rFonts w:ascii="Cambria Math" w:hAnsi="Cambria Math"/>
          <w:i/>
          <w:sz w:val="18"/>
          <w:szCs w:val="18"/>
        </w:rPr>
        <w:t xml:space="preserve">, electric </w:t>
      </w:r>
    </w:p>
    <w:bookmarkEnd w:id="51"/>
    <w:p w14:paraId="2E538295" w14:textId="1E7D3C42" w:rsidR="00EA77DF" w:rsidRDefault="00EA77DF" w:rsidP="00B20B50">
      <w:pPr>
        <w:rPr>
          <w:rFonts w:cs="Calibri Light"/>
        </w:rPr>
      </w:pPr>
    </w:p>
    <w:p w14:paraId="457D652D" w14:textId="769F47D6" w:rsidR="009C3D9D" w:rsidRDefault="009C3D9D" w:rsidP="00B20B50">
      <w:pPr>
        <w:rPr>
          <w:rFonts w:cs="Calibri Light"/>
        </w:rPr>
      </w:pPr>
      <w:r>
        <w:t>Refer to Gas Savings for the derivation of the gas UES. All other inputs used for this calculation are specified below.</w:t>
      </w:r>
    </w:p>
    <w:p w14:paraId="1E620731" w14:textId="14490D8A" w:rsidR="00D31C65" w:rsidRPr="008560FF" w:rsidRDefault="00BF3C37" w:rsidP="009103B6">
      <w:pPr>
        <w:pStyle w:val="Caption"/>
        <w:rPr>
          <w:rFonts w:cs="Calibri Light"/>
          <w:szCs w:val="20"/>
        </w:rPr>
      </w:pPr>
      <w:bookmarkStart w:id="54" w:name="_Hlk511903670"/>
      <w:r>
        <w:t xml:space="preserve">Electric </w:t>
      </w:r>
      <w:r w:rsidR="00F65BBE">
        <w:t>UES</w:t>
      </w:r>
      <w:r w:rsidR="00D31C65">
        <w:rPr>
          <w:rFonts w:cs="Calibri Light"/>
          <w:szCs w:val="20"/>
        </w:rPr>
        <w:t xml:space="preserve"> </w:t>
      </w:r>
      <w:r w:rsidR="00F65BBE">
        <w:rPr>
          <w:rFonts w:cs="Calibri Light"/>
          <w:szCs w:val="20"/>
        </w:rPr>
        <w:t>Inputs</w:t>
      </w:r>
      <w:r w:rsidR="00D31C65" w:rsidRPr="008560FF">
        <w:rPr>
          <w:rFonts w:cs="Calibri Light"/>
          <w:szCs w:val="20"/>
        </w:rPr>
        <w:t xml:space="preserve"> </w:t>
      </w:r>
    </w:p>
    <w:tbl>
      <w:tblPr>
        <w:tblW w:w="81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356"/>
        <w:gridCol w:w="1240"/>
        <w:gridCol w:w="3539"/>
      </w:tblGrid>
      <w:tr w:rsidR="00F65BBE" w:rsidRPr="00D31C65" w14:paraId="5E8D4692" w14:textId="77777777" w:rsidTr="00BE6116">
        <w:trPr>
          <w:trHeight w:val="260"/>
        </w:trPr>
        <w:tc>
          <w:tcPr>
            <w:tcW w:w="3356" w:type="dxa"/>
            <w:shd w:val="clear" w:color="auto" w:fill="F2F2F2" w:themeFill="background1" w:themeFillShade="F2"/>
            <w:noWrap/>
            <w:vAlign w:val="bottom"/>
            <w:hideMark/>
          </w:tcPr>
          <w:p w14:paraId="0DD6CABE" w14:textId="77777777" w:rsidR="00F65BBE" w:rsidRPr="00D31C65" w:rsidRDefault="00F65BBE" w:rsidP="009103B6">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Energy Savings Inputs / Constants</w:t>
            </w:r>
          </w:p>
        </w:tc>
        <w:tc>
          <w:tcPr>
            <w:tcW w:w="1240" w:type="dxa"/>
            <w:shd w:val="clear" w:color="auto" w:fill="F2F2F2" w:themeFill="background1" w:themeFillShade="F2"/>
            <w:noWrap/>
            <w:vAlign w:val="bottom"/>
            <w:hideMark/>
          </w:tcPr>
          <w:p w14:paraId="3E4C4030" w14:textId="0B0E7333" w:rsidR="00F65BBE" w:rsidRPr="00D31C65" w:rsidRDefault="00F65BBE" w:rsidP="009103B6">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Value</w:t>
            </w:r>
          </w:p>
        </w:tc>
        <w:tc>
          <w:tcPr>
            <w:tcW w:w="3539" w:type="dxa"/>
            <w:shd w:val="clear" w:color="auto" w:fill="F2F2F2" w:themeFill="background1" w:themeFillShade="F2"/>
            <w:noWrap/>
            <w:vAlign w:val="bottom"/>
            <w:hideMark/>
          </w:tcPr>
          <w:p w14:paraId="0E4740CA" w14:textId="0F3ED301" w:rsidR="00F65BBE" w:rsidRPr="00D31C65" w:rsidRDefault="00F65BBE" w:rsidP="009103B6">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Source</w:t>
            </w:r>
          </w:p>
        </w:tc>
      </w:tr>
      <w:tr w:rsidR="00F65BBE" w:rsidRPr="00D31C65" w14:paraId="7F11EC14" w14:textId="77777777" w:rsidTr="00BE6116">
        <w:trPr>
          <w:trHeight w:val="260"/>
        </w:trPr>
        <w:tc>
          <w:tcPr>
            <w:tcW w:w="3356" w:type="dxa"/>
            <w:shd w:val="clear" w:color="auto" w:fill="auto"/>
            <w:noWrap/>
            <w:vAlign w:val="bottom"/>
          </w:tcPr>
          <w:p w14:paraId="2BCEA2D6" w14:textId="59103829" w:rsidR="00F65BBE" w:rsidRPr="00BF3C37" w:rsidRDefault="00F65BBE" w:rsidP="009103B6">
            <w:pPr>
              <w:keepNext/>
              <w:keepLines/>
              <w:spacing w:before="0" w:after="0" w:line="240" w:lineRule="auto"/>
              <w:rPr>
                <w:rFonts w:eastAsia="Times New Roman" w:cs="Times New Roman"/>
                <w:sz w:val="20"/>
                <w:szCs w:val="20"/>
              </w:rPr>
            </w:pPr>
            <w:r w:rsidRPr="00BF3C37">
              <w:rPr>
                <w:rFonts w:eastAsia="Times New Roman" w:cs="Times New Roman"/>
                <w:sz w:val="20"/>
                <w:szCs w:val="20"/>
              </w:rPr>
              <w:t>Gas Unit Energy Savings</w:t>
            </w:r>
            <w:r>
              <w:rPr>
                <w:rFonts w:eastAsia="Times New Roman" w:cs="Times New Roman"/>
                <w:sz w:val="20"/>
                <w:szCs w:val="20"/>
              </w:rPr>
              <w:t xml:space="preserve"> (</w:t>
            </w:r>
            <w:proofErr w:type="spellStart"/>
            <w:r>
              <w:rPr>
                <w:rFonts w:eastAsia="Times New Roman" w:cs="Times New Roman"/>
                <w:sz w:val="20"/>
                <w:szCs w:val="20"/>
              </w:rPr>
              <w:t>therms</w:t>
            </w:r>
            <w:proofErr w:type="spellEnd"/>
            <w:r>
              <w:rPr>
                <w:rFonts w:eastAsia="Times New Roman" w:cs="Times New Roman"/>
                <w:sz w:val="20"/>
                <w:szCs w:val="20"/>
              </w:rPr>
              <w:t>)</w:t>
            </w:r>
          </w:p>
        </w:tc>
        <w:tc>
          <w:tcPr>
            <w:tcW w:w="1240" w:type="dxa"/>
            <w:shd w:val="clear" w:color="auto" w:fill="auto"/>
            <w:noWrap/>
            <w:vAlign w:val="bottom"/>
          </w:tcPr>
          <w:p w14:paraId="735397A6" w14:textId="45DD418F" w:rsidR="00F65BBE" w:rsidRPr="00BF3C37" w:rsidRDefault="00F65BBE" w:rsidP="009103B6">
            <w:pPr>
              <w:keepNext/>
              <w:keepLines/>
              <w:spacing w:before="0" w:after="0" w:line="240" w:lineRule="auto"/>
              <w:rPr>
                <w:rFonts w:eastAsia="Times New Roman" w:cs="Times New Roman"/>
                <w:sz w:val="20"/>
                <w:szCs w:val="20"/>
              </w:rPr>
            </w:pPr>
            <w:r>
              <w:rPr>
                <w:rFonts w:eastAsia="Times New Roman" w:cs="Times New Roman"/>
                <w:sz w:val="20"/>
                <w:szCs w:val="20"/>
              </w:rPr>
              <w:t>Varies by CZ</w:t>
            </w:r>
          </w:p>
        </w:tc>
        <w:tc>
          <w:tcPr>
            <w:tcW w:w="3539" w:type="dxa"/>
            <w:shd w:val="clear" w:color="auto" w:fill="auto"/>
            <w:noWrap/>
            <w:vAlign w:val="bottom"/>
          </w:tcPr>
          <w:p w14:paraId="68ED9FA2" w14:textId="5BB53E5D" w:rsidR="00F65BBE" w:rsidRPr="00BF3C37" w:rsidRDefault="00F65BBE" w:rsidP="009103B6">
            <w:pPr>
              <w:keepNext/>
              <w:keepLines/>
              <w:spacing w:before="0" w:after="0" w:line="240" w:lineRule="auto"/>
              <w:rPr>
                <w:rFonts w:eastAsia="Times New Roman" w:cs="Times New Roman"/>
                <w:sz w:val="20"/>
                <w:szCs w:val="20"/>
              </w:rPr>
            </w:pPr>
            <w:r w:rsidRPr="00BF3C37">
              <w:rPr>
                <w:rFonts w:eastAsia="Times New Roman" w:cs="Times New Roman"/>
                <w:sz w:val="20"/>
                <w:szCs w:val="20"/>
              </w:rPr>
              <w:t>See Gas Savings section.</w:t>
            </w:r>
          </w:p>
        </w:tc>
      </w:tr>
      <w:tr w:rsidR="00F65BBE" w:rsidRPr="00D31C65" w14:paraId="7F8AE8D1" w14:textId="77777777" w:rsidTr="00BE6116">
        <w:trPr>
          <w:trHeight w:val="260"/>
        </w:trPr>
        <w:tc>
          <w:tcPr>
            <w:tcW w:w="3356" w:type="dxa"/>
            <w:shd w:val="clear" w:color="auto" w:fill="auto"/>
            <w:noWrap/>
            <w:vAlign w:val="center"/>
            <w:hideMark/>
          </w:tcPr>
          <w:p w14:paraId="33FE879D" w14:textId="2D43466F" w:rsidR="00F65BBE" w:rsidRPr="00D31C65" w:rsidRDefault="00F65BBE" w:rsidP="009103B6">
            <w:pPr>
              <w:keepNext/>
              <w:keepLines/>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240" w:type="dxa"/>
            <w:shd w:val="clear" w:color="auto" w:fill="auto"/>
            <w:noWrap/>
            <w:vAlign w:val="center"/>
            <w:hideMark/>
          </w:tcPr>
          <w:p w14:paraId="542536AA" w14:textId="7AE9E1AD" w:rsidR="00F65BBE" w:rsidRPr="00BE6116" w:rsidRDefault="00F65BBE" w:rsidP="009103B6">
            <w:pPr>
              <w:keepNext/>
              <w:keepLines/>
              <w:spacing w:before="0" w:after="0" w:line="240" w:lineRule="auto"/>
              <w:jc w:val="right"/>
              <w:rPr>
                <w:rFonts w:eastAsia="Times New Roman" w:cs="Times New Roman"/>
                <w:sz w:val="20"/>
                <w:szCs w:val="20"/>
              </w:rPr>
            </w:pPr>
            <w:r w:rsidRPr="00BE6116">
              <w:rPr>
                <w:rFonts w:eastAsia="Times New Roman" w:cs="Times New Roman"/>
                <w:sz w:val="20"/>
                <w:szCs w:val="20"/>
              </w:rPr>
              <w:t>0.77</w:t>
            </w:r>
          </w:p>
        </w:tc>
        <w:tc>
          <w:tcPr>
            <w:tcW w:w="3539" w:type="dxa"/>
            <w:shd w:val="clear" w:color="auto" w:fill="auto"/>
            <w:noWrap/>
            <w:vAlign w:val="center"/>
            <w:hideMark/>
          </w:tcPr>
          <w:p w14:paraId="68F21362" w14:textId="77777777" w:rsidR="00F65BBE" w:rsidRDefault="00F65BBE" w:rsidP="009103B6">
            <w:pPr>
              <w:keepNext/>
              <w:keepLines/>
              <w:spacing w:before="0" w:after="0" w:line="240" w:lineRule="auto"/>
              <w:rPr>
                <w:rFonts w:eastAsia="Times New Roman" w:cs="Times New Roman"/>
                <w:sz w:val="18"/>
                <w:szCs w:val="18"/>
              </w:rPr>
            </w:pPr>
            <w:bookmarkStart w:id="55" w:name="_Hlk536628418"/>
            <w:r w:rsidRPr="00780884">
              <w:rPr>
                <w:rFonts w:eastAsia="Times New Roman" w:cs="Times New Roman"/>
                <w:sz w:val="18"/>
                <w:szCs w:val="18"/>
              </w:rPr>
              <w:t>Southern California Gas Company (SCG). 2010. “Gas Fired Storage Water Heater Extract from CEC Appliance Data 07.07.2010.xlsx.”</w:t>
            </w:r>
            <w:bookmarkEnd w:id="55"/>
          </w:p>
          <w:p w14:paraId="57557C29" w14:textId="77777777" w:rsidR="00F65BBE" w:rsidRDefault="00F65BBE" w:rsidP="009103B6">
            <w:pPr>
              <w:keepNext/>
              <w:keepLines/>
              <w:spacing w:before="0" w:after="0" w:line="240" w:lineRule="auto"/>
              <w:rPr>
                <w:rFonts w:eastAsia="Times New Roman" w:cs="Times New Roman"/>
                <w:sz w:val="18"/>
                <w:szCs w:val="20"/>
                <w:highlight w:val="yellow"/>
              </w:rPr>
            </w:pPr>
          </w:p>
          <w:p w14:paraId="32AF0621" w14:textId="3A972054" w:rsidR="00F65BBE" w:rsidRPr="005B3F88" w:rsidRDefault="00F65BBE" w:rsidP="009103B6">
            <w:pPr>
              <w:keepNext/>
              <w:keepLines/>
              <w:spacing w:before="0" w:after="0" w:line="240" w:lineRule="auto"/>
              <w:rPr>
                <w:rFonts w:eastAsia="Times New Roman" w:cs="Times New Roman"/>
                <w:sz w:val="18"/>
                <w:szCs w:val="20"/>
                <w:highlight w:val="yellow"/>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Non-DEER Measure Review Template: PGECODHW113 – Low Flow Showerhead and Therm</w:t>
            </w:r>
            <w:r>
              <w:rPr>
                <w:rFonts w:eastAsia="Times New Roman" w:cs="Times New Roman"/>
                <w:i/>
                <w:sz w:val="18"/>
                <w:szCs w:val="18"/>
              </w:rPr>
              <w:t>o</w:t>
            </w:r>
            <w:r w:rsidRPr="00E540D1">
              <w:rPr>
                <w:rFonts w:eastAsia="Times New Roman" w:cs="Times New Roman"/>
                <w:i/>
                <w:sz w:val="18"/>
                <w:szCs w:val="18"/>
              </w:rPr>
              <w:t>static Shower Restriction Valve.</w:t>
            </w:r>
            <w:r w:rsidRPr="00E540D1">
              <w:rPr>
                <w:rFonts w:eastAsia="Times New Roman" w:cs="Times New Roman"/>
                <w:sz w:val="18"/>
                <w:szCs w:val="18"/>
              </w:rPr>
              <w:t xml:space="preserve"> April 27.</w:t>
            </w:r>
          </w:p>
        </w:tc>
      </w:tr>
      <w:tr w:rsidR="00F65BBE" w:rsidRPr="00D31C65" w14:paraId="7333EAB5" w14:textId="77777777" w:rsidTr="00BE6116">
        <w:trPr>
          <w:trHeight w:val="260"/>
        </w:trPr>
        <w:tc>
          <w:tcPr>
            <w:tcW w:w="3356" w:type="dxa"/>
            <w:shd w:val="clear" w:color="auto" w:fill="auto"/>
            <w:noWrap/>
            <w:vAlign w:val="center"/>
            <w:hideMark/>
          </w:tcPr>
          <w:p w14:paraId="0F12890C" w14:textId="7D688623" w:rsidR="00F65BBE" w:rsidRPr="00D31C65" w:rsidRDefault="00F65BBE" w:rsidP="00FA768E">
            <w:pPr>
              <w:spacing w:before="0" w:after="0" w:line="240" w:lineRule="auto"/>
              <w:rPr>
                <w:rFonts w:eastAsia="Times New Roman" w:cs="Times New Roman"/>
                <w:sz w:val="20"/>
                <w:szCs w:val="20"/>
              </w:rPr>
            </w:pPr>
            <w:r w:rsidRPr="00D31C65">
              <w:rPr>
                <w:rFonts w:eastAsia="Times New Roman" w:cs="Times New Roman"/>
                <w:sz w:val="20"/>
                <w:szCs w:val="20"/>
              </w:rPr>
              <w:t xml:space="preserve">Electric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240" w:type="dxa"/>
            <w:shd w:val="clear" w:color="auto" w:fill="auto"/>
            <w:noWrap/>
            <w:vAlign w:val="center"/>
            <w:hideMark/>
          </w:tcPr>
          <w:p w14:paraId="54257E95" w14:textId="77777777" w:rsidR="00F65BBE" w:rsidRPr="00BE6116" w:rsidRDefault="00F65BBE" w:rsidP="00FA768E">
            <w:pPr>
              <w:spacing w:before="0" w:after="0" w:line="240" w:lineRule="auto"/>
              <w:jc w:val="right"/>
              <w:rPr>
                <w:rFonts w:eastAsia="Times New Roman" w:cs="Times New Roman"/>
                <w:sz w:val="20"/>
                <w:szCs w:val="20"/>
              </w:rPr>
            </w:pPr>
            <w:r w:rsidRPr="00BE6116">
              <w:rPr>
                <w:rFonts w:eastAsia="Times New Roman" w:cs="Times New Roman"/>
                <w:sz w:val="20"/>
                <w:szCs w:val="20"/>
              </w:rPr>
              <w:t>0.98</w:t>
            </w:r>
          </w:p>
        </w:tc>
        <w:tc>
          <w:tcPr>
            <w:tcW w:w="3539" w:type="dxa"/>
            <w:shd w:val="clear" w:color="auto" w:fill="auto"/>
            <w:noWrap/>
            <w:vAlign w:val="center"/>
            <w:hideMark/>
          </w:tcPr>
          <w:p w14:paraId="3D7601E8" w14:textId="12A2AFD4" w:rsidR="00F65BBE" w:rsidRPr="00D31C65" w:rsidRDefault="00F65BBE" w:rsidP="00FA768E">
            <w:pPr>
              <w:spacing w:before="0" w:after="0" w:line="240" w:lineRule="auto"/>
              <w:rPr>
                <w:rFonts w:eastAsia="Times New Roman" w:cs="Times New Roman"/>
                <w:sz w:val="20"/>
                <w:szCs w:val="20"/>
                <w:highlight w:val="yellow"/>
              </w:rPr>
            </w:pPr>
            <w:r w:rsidRPr="00780884">
              <w:rPr>
                <w:sz w:val="18"/>
                <w:szCs w:val="18"/>
              </w:rPr>
              <w:t xml:space="preserve">California Energy Commission (CEC). 2014. </w:t>
            </w:r>
            <w:r w:rsidRPr="00780884">
              <w:rPr>
                <w:i/>
                <w:sz w:val="18"/>
                <w:szCs w:val="18"/>
              </w:rPr>
              <w:t xml:space="preserve">2014 Appliance Efficiency Regulations. </w:t>
            </w:r>
            <w:r w:rsidRPr="00780884">
              <w:rPr>
                <w:sz w:val="18"/>
                <w:szCs w:val="18"/>
              </w:rPr>
              <w:t>CEC-400-2014-009-CMF.</w:t>
            </w:r>
            <w:r>
              <w:rPr>
                <w:sz w:val="18"/>
                <w:szCs w:val="18"/>
              </w:rPr>
              <w:t xml:space="preserve"> Section 1604.</w:t>
            </w:r>
          </w:p>
        </w:tc>
      </w:tr>
    </w:tbl>
    <w:p w14:paraId="2983F915" w14:textId="77777777" w:rsidR="00E44E5D" w:rsidRDefault="00E44E5D" w:rsidP="00B20B50"/>
    <w:p w14:paraId="57AFAD20" w14:textId="77777777" w:rsidR="002315BA" w:rsidRDefault="002315BA" w:rsidP="002315BA">
      <w:r>
        <w:rPr>
          <w:b/>
        </w:rPr>
        <w:t>Recovery Efficiency</w:t>
      </w:r>
      <w:r w:rsidRPr="003557B3">
        <w:rPr>
          <w:b/>
        </w:rPr>
        <w:t xml:space="preserve">: </w:t>
      </w:r>
      <w:r w:rsidRPr="008E679A">
        <w:t xml:space="preserve">To convert the water heating load to </w:t>
      </w:r>
      <w:r>
        <w:t xml:space="preserve">electric </w:t>
      </w:r>
      <w:r w:rsidRPr="008E679A">
        <w:t xml:space="preserve">energy use at the water heater, the recovery efficiency (RE) is used. Recovery efficiency is a measure of how efficiently the heat from the energy source is transferred to the water (the ratio of energy output used to heat the water divided by energy input). </w:t>
      </w:r>
    </w:p>
    <w:p w14:paraId="1A2C8D28" w14:textId="77777777" w:rsidR="002315BA" w:rsidRPr="00B20B50" w:rsidRDefault="002315BA" w:rsidP="00B20B50"/>
    <w:p w14:paraId="5084D4DA" w14:textId="77777777" w:rsidR="00B20B50" w:rsidRPr="00B20B50" w:rsidRDefault="00B20B50" w:rsidP="00B20B50">
      <w:pPr>
        <w:keepNext/>
        <w:keepLines/>
        <w:spacing w:line="300" w:lineRule="exact"/>
        <w:outlineLvl w:val="2"/>
        <w:rPr>
          <w:rFonts w:eastAsiaTheme="majorEastAsia" w:cstheme="majorBidi"/>
          <w:caps/>
          <w:color w:val="CFAB7A"/>
          <w:w w:val="102"/>
          <w:sz w:val="24"/>
          <w:szCs w:val="30"/>
        </w:rPr>
      </w:pPr>
      <w:bookmarkStart w:id="56" w:name="_Toc486490856"/>
      <w:bookmarkStart w:id="57" w:name="_Toc486580927"/>
      <w:bookmarkStart w:id="58" w:name="_Toc495646911"/>
      <w:bookmarkEnd w:id="54"/>
      <w:r w:rsidRPr="00B20B50">
        <w:rPr>
          <w:rFonts w:eastAsiaTheme="majorEastAsia" w:cstheme="majorBidi"/>
          <w:caps/>
          <w:color w:val="CFAB7A"/>
          <w:w w:val="102"/>
          <w:sz w:val="24"/>
          <w:szCs w:val="30"/>
        </w:rPr>
        <w:lastRenderedPageBreak/>
        <w:t>Peak Electric Demand Reduction (</w:t>
      </w:r>
      <w:r w:rsidRPr="00730540">
        <w:rPr>
          <w:rFonts w:eastAsiaTheme="majorEastAsia" w:cstheme="majorBidi"/>
          <w:color w:val="CFAB7A"/>
          <w:w w:val="102"/>
          <w:sz w:val="24"/>
          <w:szCs w:val="30"/>
        </w:rPr>
        <w:t>kW</w:t>
      </w:r>
      <w:r w:rsidRPr="00B20B50">
        <w:rPr>
          <w:rFonts w:eastAsiaTheme="majorEastAsia" w:cstheme="majorBidi"/>
          <w:caps/>
          <w:color w:val="CFAB7A"/>
          <w:w w:val="102"/>
          <w:sz w:val="24"/>
          <w:szCs w:val="30"/>
        </w:rPr>
        <w:t>)</w:t>
      </w:r>
      <w:bookmarkEnd w:id="56"/>
      <w:bookmarkEnd w:id="57"/>
      <w:bookmarkEnd w:id="58"/>
    </w:p>
    <w:p w14:paraId="70370D68" w14:textId="77777777" w:rsidR="00B65399" w:rsidRPr="00834EEE" w:rsidRDefault="00B65399" w:rsidP="00B65399">
      <w:r>
        <w:t xml:space="preserve">Peak electrical demand reduction calculation is a function of the electric unit energy savings (UES), a peak period usage factor, and the operating hours per year. </w:t>
      </w:r>
      <w:r w:rsidRPr="0053560D">
        <w:t xml:space="preserve">The peak period usage factor </w:t>
      </w:r>
      <w:r>
        <w:t>(PPUF) – similar in concept to a coincident demand factor (CDF) – r</w:t>
      </w:r>
      <w:r w:rsidRPr="0053560D">
        <w:t xml:space="preserve">eflects the percent of hot water usage during the </w:t>
      </w:r>
      <w:r>
        <w:t xml:space="preserve">designated </w:t>
      </w:r>
      <w:r w:rsidRPr="0053560D">
        <w:t>peak demand period.</w:t>
      </w:r>
    </w:p>
    <w:p w14:paraId="2593179C" w14:textId="4A4FD11F" w:rsidR="006D306E" w:rsidRPr="00A733CE" w:rsidRDefault="004F15A9" w:rsidP="006D306E">
      <w:pPr>
        <w:keepNext/>
        <w:keepLines/>
        <w:ind w:left="720"/>
        <w:rPr>
          <w:rFonts w:asciiTheme="minorHAnsi" w:hAnsiTheme="minorHAns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kW</m:t>
              </m:r>
            </m:e>
            <m:sub>
              <m:r>
                <w:rPr>
                  <w:rFonts w:ascii="Cambria Math" w:hAnsi="Cambria Math"/>
                  <w:sz w:val="18"/>
                  <w:szCs w:val="18"/>
                </w:rPr>
                <m:t xml:space="preserve">reduction </m:t>
              </m:r>
            </m:sub>
          </m:sSub>
          <m:r>
            <w:rPr>
              <w:rFonts w:ascii="Cambria Math" w:hAnsi="Cambria Math"/>
              <w:sz w:val="18"/>
              <w:szCs w:val="18"/>
            </w:rPr>
            <m:t xml:space="preserve">= </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 xml:space="preserve">kWh </m:t>
                  </m:r>
                </m:sub>
              </m:sSub>
              <m:r>
                <w:rPr>
                  <w:rFonts w:ascii="Cambria Math" w:hAnsi="Cambria Math"/>
                  <w:sz w:val="18"/>
                  <w:szCs w:val="18"/>
                </w:rPr>
                <m:t>×PPUF</m:t>
              </m:r>
            </m:num>
            <m:den>
              <m:r>
                <w:rPr>
                  <w:rFonts w:ascii="Cambria Math" w:hAnsi="Cambria Math"/>
                  <w:sz w:val="18"/>
                  <w:szCs w:val="18"/>
                </w:rPr>
                <m:t>(DAYS×PEAKHRS)</m:t>
              </m:r>
            </m:den>
          </m:f>
        </m:oMath>
      </m:oMathPara>
    </w:p>
    <w:p w14:paraId="7458324C" w14:textId="768E7C80" w:rsidR="00A733CE" w:rsidRDefault="00A733CE" w:rsidP="00A733CE">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sidRPr="00AC4758">
        <w:rPr>
          <w:rFonts w:ascii="Cambria Math" w:hAnsi="Cambria Math" w:cs="Calibri Light"/>
          <w:i/>
          <w:sz w:val="18"/>
          <w:szCs w:val="18"/>
          <w:vertAlign w:val="subscript"/>
        </w:rPr>
        <w:t>kWh</w:t>
      </w:r>
      <w:proofErr w:type="spellEnd"/>
      <w:r>
        <w:rPr>
          <w:rFonts w:ascii="Cambria Math" w:hAnsi="Cambria Math" w:cs="Calibri Light"/>
          <w:i/>
          <w:sz w:val="18"/>
          <w:szCs w:val="18"/>
        </w:rPr>
        <w:t xml:space="preserve"> = </w:t>
      </w:r>
      <w:r>
        <w:rPr>
          <w:rFonts w:ascii="Cambria Math" w:hAnsi="Cambria Math" w:cs="Calibri Light"/>
          <w:i/>
          <w:sz w:val="18"/>
          <w:szCs w:val="18"/>
        </w:rPr>
        <w:tab/>
        <w:t>Annual electric unit energy savings (kWh/year)</w:t>
      </w:r>
    </w:p>
    <w:p w14:paraId="534B341C" w14:textId="75B5E190" w:rsidR="00A733CE" w:rsidRDefault="00A733CE" w:rsidP="00A733CE">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PPUF = </w:t>
      </w:r>
      <w:r>
        <w:rPr>
          <w:rFonts w:ascii="Cambria Math" w:hAnsi="Cambria Math" w:cs="Calibri Light"/>
          <w:i/>
          <w:sz w:val="18"/>
          <w:szCs w:val="18"/>
        </w:rPr>
        <w:tab/>
        <w:t>Peak period usage factor</w:t>
      </w:r>
    </w:p>
    <w:p w14:paraId="5D9B5137" w14:textId="3981AED4" w:rsidR="00A733CE" w:rsidRDefault="00A733CE" w:rsidP="00A733CE">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DAYS = </w:t>
      </w:r>
      <w:r>
        <w:rPr>
          <w:rFonts w:ascii="Cambria Math" w:hAnsi="Cambria Math" w:cs="Calibri Light"/>
          <w:i/>
          <w:sz w:val="18"/>
          <w:szCs w:val="18"/>
        </w:rPr>
        <w:tab/>
        <w:t>Operating days per year</w:t>
      </w:r>
    </w:p>
    <w:p w14:paraId="3F1CC412" w14:textId="6FA52702" w:rsidR="00A733CE" w:rsidRDefault="00A733CE" w:rsidP="00A733CE">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PEAKHRS = </w:t>
      </w:r>
      <w:r>
        <w:rPr>
          <w:rFonts w:ascii="Cambria Math" w:hAnsi="Cambria Math" w:cs="Calibri Light"/>
          <w:i/>
          <w:sz w:val="18"/>
          <w:szCs w:val="18"/>
        </w:rPr>
        <w:tab/>
        <w:t>Peak hours per day</w:t>
      </w:r>
    </w:p>
    <w:p w14:paraId="5DBC134F" w14:textId="77777777" w:rsidR="00A733CE" w:rsidRPr="00E37CC2" w:rsidRDefault="00A733CE" w:rsidP="009C3D9D"/>
    <w:p w14:paraId="16FD7CA3" w14:textId="74FF22DE" w:rsidR="006D306E" w:rsidRDefault="006D306E" w:rsidP="007403A0">
      <w:pPr>
        <w:pStyle w:val="Caption"/>
      </w:pPr>
      <w:r>
        <w:t xml:space="preserve">Peak Demand Reduction </w:t>
      </w:r>
      <w:r w:rsidR="00A733CE">
        <w:t>Inputs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335"/>
        <w:gridCol w:w="1170"/>
        <w:gridCol w:w="6030"/>
      </w:tblGrid>
      <w:tr w:rsidR="006D306E" w:rsidRPr="00A94CA4" w14:paraId="0DCBC525" w14:textId="77777777" w:rsidTr="009C3D9D">
        <w:trPr>
          <w:cantSplit/>
          <w:trHeight w:val="20"/>
        </w:trPr>
        <w:tc>
          <w:tcPr>
            <w:tcW w:w="2335" w:type="dxa"/>
            <w:shd w:val="clear" w:color="auto" w:fill="F2F2F2" w:themeFill="background1" w:themeFillShade="F2"/>
            <w:vAlign w:val="center"/>
          </w:tcPr>
          <w:p w14:paraId="15A33F33" w14:textId="77777777" w:rsidR="006D306E" w:rsidRPr="00A94CA4" w:rsidRDefault="006D306E" w:rsidP="007403A0">
            <w:pPr>
              <w:keepNext/>
              <w:keepLines/>
              <w:spacing w:before="20" w:after="20" w:line="240" w:lineRule="auto"/>
              <w:rPr>
                <w:b/>
                <w:sz w:val="20"/>
                <w:szCs w:val="20"/>
              </w:rPr>
            </w:pPr>
            <w:r w:rsidRPr="00A94CA4">
              <w:rPr>
                <w:b/>
                <w:sz w:val="20"/>
                <w:szCs w:val="20"/>
              </w:rPr>
              <w:t>Parameter</w:t>
            </w:r>
          </w:p>
        </w:tc>
        <w:tc>
          <w:tcPr>
            <w:tcW w:w="1170" w:type="dxa"/>
            <w:shd w:val="clear" w:color="auto" w:fill="F2F2F2" w:themeFill="background1" w:themeFillShade="F2"/>
            <w:noWrap/>
            <w:vAlign w:val="center"/>
          </w:tcPr>
          <w:p w14:paraId="32BC5408" w14:textId="77777777" w:rsidR="006D306E" w:rsidRPr="00A94CA4" w:rsidRDefault="006D306E" w:rsidP="007403A0">
            <w:pPr>
              <w:keepNext/>
              <w:keepLines/>
              <w:spacing w:before="20" w:after="20" w:line="240" w:lineRule="auto"/>
              <w:jc w:val="center"/>
              <w:rPr>
                <w:rFonts w:eastAsia="Times New Roman" w:cs="Calibri Light"/>
                <w:b/>
                <w:color w:val="000000"/>
                <w:sz w:val="20"/>
                <w:szCs w:val="20"/>
              </w:rPr>
            </w:pPr>
            <w:r w:rsidRPr="00A94CA4">
              <w:rPr>
                <w:rFonts w:eastAsia="Times New Roman" w:cs="Calibri Light"/>
                <w:b/>
                <w:color w:val="000000"/>
                <w:sz w:val="20"/>
                <w:szCs w:val="20"/>
              </w:rPr>
              <w:t>Value</w:t>
            </w:r>
          </w:p>
        </w:tc>
        <w:tc>
          <w:tcPr>
            <w:tcW w:w="6030" w:type="dxa"/>
            <w:shd w:val="clear" w:color="auto" w:fill="F2F2F2" w:themeFill="background1" w:themeFillShade="F2"/>
          </w:tcPr>
          <w:p w14:paraId="7DF07BD6" w14:textId="77777777" w:rsidR="006D306E" w:rsidRPr="00A94CA4" w:rsidRDefault="006D306E" w:rsidP="007403A0">
            <w:pPr>
              <w:keepNext/>
              <w:keepLines/>
              <w:spacing w:before="20" w:after="20" w:line="240" w:lineRule="auto"/>
              <w:rPr>
                <w:b/>
                <w:sz w:val="20"/>
                <w:szCs w:val="20"/>
              </w:rPr>
            </w:pPr>
            <w:r w:rsidRPr="00A94CA4">
              <w:rPr>
                <w:b/>
                <w:sz w:val="20"/>
                <w:szCs w:val="20"/>
              </w:rPr>
              <w:t>Source</w:t>
            </w:r>
          </w:p>
        </w:tc>
      </w:tr>
      <w:tr w:rsidR="006D306E" w:rsidRPr="00BA632F" w14:paraId="5C27CB6F" w14:textId="77777777" w:rsidTr="009C3D9D">
        <w:trPr>
          <w:cantSplit/>
          <w:trHeight w:val="20"/>
        </w:trPr>
        <w:tc>
          <w:tcPr>
            <w:tcW w:w="2335" w:type="dxa"/>
            <w:shd w:val="clear" w:color="auto" w:fill="FFFFFF" w:themeFill="background1"/>
            <w:vAlign w:val="center"/>
          </w:tcPr>
          <w:p w14:paraId="5D56CE6B" w14:textId="77777777" w:rsidR="006D306E" w:rsidRPr="00B65399" w:rsidRDefault="006D306E" w:rsidP="007403A0">
            <w:pPr>
              <w:keepNext/>
              <w:keepLines/>
              <w:spacing w:before="20" w:after="20" w:line="240" w:lineRule="auto"/>
              <w:rPr>
                <w:sz w:val="20"/>
                <w:szCs w:val="20"/>
              </w:rPr>
            </w:pPr>
            <w:r w:rsidRPr="00B65399">
              <w:rPr>
                <w:sz w:val="20"/>
                <w:szCs w:val="20"/>
              </w:rPr>
              <w:t>Peak Period Usage Factor (PPUF)</w:t>
            </w:r>
          </w:p>
        </w:tc>
        <w:tc>
          <w:tcPr>
            <w:tcW w:w="1170" w:type="dxa"/>
            <w:shd w:val="clear" w:color="auto" w:fill="auto"/>
            <w:noWrap/>
            <w:vAlign w:val="center"/>
          </w:tcPr>
          <w:p w14:paraId="6639BEA1" w14:textId="2AE5254D" w:rsidR="006D306E" w:rsidRPr="00BC4F93" w:rsidRDefault="006D306E" w:rsidP="007403A0">
            <w:pPr>
              <w:keepNext/>
              <w:keepLines/>
              <w:spacing w:before="20" w:after="20" w:line="240" w:lineRule="auto"/>
              <w:jc w:val="center"/>
              <w:rPr>
                <w:rFonts w:eastAsia="Times New Roman" w:cs="Calibri Light"/>
                <w:sz w:val="20"/>
                <w:szCs w:val="20"/>
              </w:rPr>
            </w:pPr>
            <w:r w:rsidRPr="00BC4F93">
              <w:rPr>
                <w:rFonts w:eastAsia="Times New Roman" w:cs="Calibri Light"/>
                <w:sz w:val="20"/>
                <w:szCs w:val="20"/>
              </w:rPr>
              <w:t>0.</w:t>
            </w:r>
            <w:r w:rsidR="0073317C">
              <w:rPr>
                <w:rFonts w:eastAsia="Times New Roman" w:cs="Calibri Light"/>
                <w:sz w:val="20"/>
                <w:szCs w:val="20"/>
              </w:rPr>
              <w:t>37</w:t>
            </w:r>
          </w:p>
        </w:tc>
        <w:tc>
          <w:tcPr>
            <w:tcW w:w="6030" w:type="dxa"/>
          </w:tcPr>
          <w:p w14:paraId="382AC72D" w14:textId="6676E8C1" w:rsidR="00671628" w:rsidRPr="005C7B8D" w:rsidRDefault="00671628" w:rsidP="00671628">
            <w:pPr>
              <w:keepNext/>
              <w:keepLines/>
              <w:spacing w:before="20" w:after="20" w:line="240" w:lineRule="auto"/>
            </w:pPr>
            <w:bookmarkStart w:id="59" w:name="_Hlk536523104"/>
            <w:r>
              <w:rPr>
                <w:sz w:val="18"/>
                <w:szCs w:val="18"/>
              </w:rPr>
              <w:t>Southern California Edison (SCE). 2019. “</w:t>
            </w:r>
            <w:r w:rsidR="002A20C1" w:rsidRPr="002A20C1">
              <w:rPr>
                <w:sz w:val="18"/>
                <w:szCs w:val="18"/>
              </w:rPr>
              <w:t>Water Heater - Electric Peak Usage Factor adjustment to new TOU</w:t>
            </w:r>
            <w:r>
              <w:rPr>
                <w:sz w:val="18"/>
                <w:szCs w:val="18"/>
              </w:rPr>
              <w:t>.xlsx</w:t>
            </w:r>
            <w:bookmarkEnd w:id="59"/>
            <w:r>
              <w:rPr>
                <w:sz w:val="18"/>
                <w:szCs w:val="18"/>
              </w:rPr>
              <w:t>”</w:t>
            </w:r>
          </w:p>
        </w:tc>
      </w:tr>
      <w:tr w:rsidR="002315BA" w:rsidRPr="00BA632F" w14:paraId="4AEFB531" w14:textId="77777777" w:rsidTr="009C3D9D">
        <w:trPr>
          <w:cantSplit/>
          <w:trHeight w:val="20"/>
        </w:trPr>
        <w:tc>
          <w:tcPr>
            <w:tcW w:w="2335" w:type="dxa"/>
            <w:shd w:val="clear" w:color="auto" w:fill="FFFFFF" w:themeFill="background1"/>
            <w:vAlign w:val="center"/>
          </w:tcPr>
          <w:p w14:paraId="38DAC930" w14:textId="22FC8111" w:rsidR="002315BA" w:rsidRPr="00A94CA4" w:rsidRDefault="002315BA" w:rsidP="007403A0">
            <w:pPr>
              <w:keepNext/>
              <w:keepLines/>
              <w:spacing w:before="20" w:after="20" w:line="240" w:lineRule="auto"/>
              <w:rPr>
                <w:sz w:val="20"/>
                <w:szCs w:val="20"/>
              </w:rPr>
            </w:pPr>
            <w:r>
              <w:rPr>
                <w:sz w:val="20"/>
                <w:szCs w:val="20"/>
              </w:rPr>
              <w:t>Operating days per year</w:t>
            </w:r>
          </w:p>
        </w:tc>
        <w:tc>
          <w:tcPr>
            <w:tcW w:w="1170" w:type="dxa"/>
            <w:shd w:val="clear" w:color="auto" w:fill="auto"/>
            <w:noWrap/>
            <w:vAlign w:val="center"/>
          </w:tcPr>
          <w:p w14:paraId="3C6502DD" w14:textId="5837056E" w:rsidR="002315BA" w:rsidRPr="00BC4F93" w:rsidRDefault="002315BA" w:rsidP="007403A0">
            <w:pPr>
              <w:keepNext/>
              <w:keepLines/>
              <w:spacing w:before="20" w:after="20" w:line="240" w:lineRule="auto"/>
              <w:jc w:val="center"/>
              <w:rPr>
                <w:rFonts w:eastAsia="Times New Roman" w:cs="Calibri Light"/>
                <w:sz w:val="20"/>
                <w:szCs w:val="20"/>
              </w:rPr>
            </w:pPr>
            <w:r w:rsidRPr="00BC4F93">
              <w:rPr>
                <w:rFonts w:eastAsia="Times New Roman" w:cs="Calibri Light"/>
                <w:sz w:val="20"/>
                <w:szCs w:val="20"/>
              </w:rPr>
              <w:t>365</w:t>
            </w:r>
          </w:p>
        </w:tc>
        <w:tc>
          <w:tcPr>
            <w:tcW w:w="6030" w:type="dxa"/>
          </w:tcPr>
          <w:p w14:paraId="0A2BBC9E" w14:textId="0CB5A94A" w:rsidR="002315BA" w:rsidRPr="00E540D1" w:rsidRDefault="002315BA" w:rsidP="007403A0">
            <w:pPr>
              <w:keepNext/>
              <w:keepLines/>
              <w:spacing w:before="20" w:after="20" w:line="240" w:lineRule="auto"/>
              <w:rPr>
                <w:rFonts w:eastAsia="Times New Roman" w:cs="Times New Roman"/>
                <w:sz w:val="18"/>
                <w:szCs w:val="18"/>
              </w:rPr>
            </w:pPr>
            <w:r>
              <w:rPr>
                <w:rFonts w:eastAsia="Times New Roman" w:cs="Times New Roman"/>
                <w:sz w:val="18"/>
                <w:szCs w:val="18"/>
              </w:rPr>
              <w:t>Professional judgement.</w:t>
            </w:r>
          </w:p>
        </w:tc>
      </w:tr>
      <w:tr w:rsidR="002315BA" w:rsidRPr="00BA632F" w14:paraId="5D81590C" w14:textId="77777777" w:rsidTr="009C3D9D">
        <w:trPr>
          <w:cantSplit/>
          <w:trHeight w:val="20"/>
        </w:trPr>
        <w:tc>
          <w:tcPr>
            <w:tcW w:w="2335" w:type="dxa"/>
            <w:shd w:val="clear" w:color="auto" w:fill="FFFFFF" w:themeFill="background1"/>
            <w:vAlign w:val="center"/>
          </w:tcPr>
          <w:p w14:paraId="6B23D6EB" w14:textId="7E361881" w:rsidR="002315BA" w:rsidRDefault="002315BA" w:rsidP="007403A0">
            <w:pPr>
              <w:keepNext/>
              <w:keepLines/>
              <w:spacing w:before="20" w:after="20" w:line="240" w:lineRule="auto"/>
              <w:rPr>
                <w:sz w:val="20"/>
                <w:szCs w:val="20"/>
              </w:rPr>
            </w:pPr>
            <w:r>
              <w:rPr>
                <w:sz w:val="20"/>
                <w:szCs w:val="20"/>
              </w:rPr>
              <w:t>Peak hours per day</w:t>
            </w:r>
          </w:p>
        </w:tc>
        <w:tc>
          <w:tcPr>
            <w:tcW w:w="1170" w:type="dxa"/>
            <w:shd w:val="clear" w:color="auto" w:fill="auto"/>
            <w:noWrap/>
            <w:vAlign w:val="center"/>
          </w:tcPr>
          <w:p w14:paraId="58F8DF18" w14:textId="3CD3C36A" w:rsidR="002315BA" w:rsidRPr="00BC4F93" w:rsidRDefault="003D2B2A" w:rsidP="007403A0">
            <w:pPr>
              <w:keepNext/>
              <w:keepLines/>
              <w:spacing w:before="20" w:after="20" w:line="240" w:lineRule="auto"/>
              <w:jc w:val="center"/>
              <w:rPr>
                <w:rFonts w:eastAsia="Times New Roman" w:cs="Calibri Light"/>
                <w:sz w:val="20"/>
                <w:szCs w:val="20"/>
              </w:rPr>
            </w:pPr>
            <w:r>
              <w:rPr>
                <w:rFonts w:eastAsia="Times New Roman" w:cs="Calibri Light"/>
                <w:sz w:val="20"/>
                <w:szCs w:val="20"/>
              </w:rPr>
              <w:t>5</w:t>
            </w:r>
          </w:p>
        </w:tc>
        <w:tc>
          <w:tcPr>
            <w:tcW w:w="6030" w:type="dxa"/>
          </w:tcPr>
          <w:p w14:paraId="5E938C7C" w14:textId="58AC0B6D" w:rsidR="002315BA" w:rsidRPr="00E540D1" w:rsidRDefault="002315BA" w:rsidP="007403A0">
            <w:pPr>
              <w:keepNext/>
              <w:keepLines/>
              <w:spacing w:before="20" w:after="20" w:line="240" w:lineRule="auto"/>
              <w:rPr>
                <w:rFonts w:eastAsia="Times New Roman" w:cs="Times New Roman"/>
                <w:sz w:val="18"/>
                <w:szCs w:val="18"/>
              </w:rPr>
            </w:pP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w:t>
            </w:r>
            <w:r w:rsidR="007D5AD5">
              <w:rPr>
                <w:rStyle w:val="eTRMFootnoteTextChar"/>
              </w:rPr>
              <w:t>P</w:t>
            </w:r>
            <w:r w:rsidRPr="00461A0D">
              <w:rPr>
                <w:rStyle w:val="eTRMFootnoteTextChar"/>
              </w:rPr>
              <w:t xml:space="preserve"> 1.</w:t>
            </w:r>
          </w:p>
        </w:tc>
      </w:tr>
    </w:tbl>
    <w:p w14:paraId="23BE8091" w14:textId="77777777" w:rsidR="00D31C65" w:rsidRPr="00B20B50" w:rsidRDefault="00D31C65" w:rsidP="00B20B50"/>
    <w:p w14:paraId="0C1B6911" w14:textId="77777777" w:rsidR="00B20B50" w:rsidRPr="002C1A40" w:rsidRDefault="00B20B50" w:rsidP="00B20B50">
      <w:pPr>
        <w:keepNext/>
        <w:keepLines/>
        <w:spacing w:line="300" w:lineRule="exact"/>
        <w:outlineLvl w:val="2"/>
        <w:rPr>
          <w:rFonts w:eastAsiaTheme="majorEastAsia" w:cstheme="majorBidi"/>
          <w:caps/>
          <w:color w:val="CFAB7A"/>
          <w:w w:val="102"/>
          <w:sz w:val="24"/>
          <w:szCs w:val="30"/>
        </w:rPr>
      </w:pPr>
      <w:bookmarkStart w:id="60" w:name="_Toc486490858"/>
      <w:bookmarkStart w:id="61" w:name="_Toc486580929"/>
      <w:bookmarkStart w:id="62" w:name="_Toc495646912"/>
      <w:r w:rsidRPr="002C1A40">
        <w:rPr>
          <w:rFonts w:eastAsiaTheme="majorEastAsia" w:cstheme="majorBidi"/>
          <w:caps/>
          <w:color w:val="CFAB7A"/>
          <w:w w:val="102"/>
          <w:sz w:val="24"/>
          <w:szCs w:val="30"/>
        </w:rPr>
        <w:t>Gas Savings (Therms)</w:t>
      </w:r>
      <w:bookmarkEnd w:id="60"/>
      <w:bookmarkEnd w:id="61"/>
      <w:bookmarkEnd w:id="62"/>
    </w:p>
    <w:p w14:paraId="76405CDB" w14:textId="7F741854" w:rsidR="00695CBC" w:rsidRPr="002C1A40" w:rsidRDefault="004444AB" w:rsidP="004444AB">
      <w:bookmarkStart w:id="63" w:name="_Hlk511805696"/>
      <w:r w:rsidRPr="002C1A40">
        <w:t xml:space="preserve">The gas unit energy savings (UES) of this measure is based upon the estimated decrease in hot water </w:t>
      </w:r>
      <w:r w:rsidR="0071025C" w:rsidRPr="002C1A40">
        <w:t>usage</w:t>
      </w:r>
      <w:r w:rsidRPr="002C1A40">
        <w:t xml:space="preserve"> as a result of the installation of a low-flow aerator. </w:t>
      </w:r>
      <w:r w:rsidR="00CC120B" w:rsidRPr="002C1A40">
        <w:t>The gas UES for a flow control valve (FCV) is the same as a low-flow aerator.</w:t>
      </w:r>
    </w:p>
    <w:p w14:paraId="470D01D0" w14:textId="0E30BACF" w:rsidR="00695CBC" w:rsidRPr="002C1A40" w:rsidRDefault="00695CBC" w:rsidP="00BE6116">
      <w:pPr>
        <w:pStyle w:val="eTRMHeading4"/>
      </w:pPr>
      <w:bookmarkStart w:id="64" w:name="_Hlk511642684"/>
      <w:bookmarkEnd w:id="63"/>
      <w:r w:rsidRPr="002C1A40">
        <w:t>Calculation of Water Usage and Water Savings</w:t>
      </w:r>
    </w:p>
    <w:bookmarkEnd w:id="64"/>
    <w:p w14:paraId="2170CB56" w14:textId="19F71044" w:rsidR="00D13215" w:rsidRPr="00D13215" w:rsidRDefault="00847ECB" w:rsidP="00D13215">
      <w:pPr>
        <w:rPr>
          <w:rStyle w:val="eTRMFootnoteTextChar"/>
          <w:sz w:val="22"/>
          <w:szCs w:val="22"/>
        </w:rPr>
      </w:pPr>
      <w:r w:rsidRPr="002C1A40">
        <w:rPr>
          <w:szCs w:val="22"/>
        </w:rPr>
        <w:t>The estimation of base case</w:t>
      </w:r>
      <w:r w:rsidRPr="00D13215">
        <w:rPr>
          <w:szCs w:val="22"/>
        </w:rPr>
        <w:t xml:space="preserve"> and measure case water usage</w:t>
      </w:r>
      <w:r w:rsidR="00953A40" w:rsidRPr="00D13215">
        <w:rPr>
          <w:szCs w:val="22"/>
        </w:rPr>
        <w:t xml:space="preserve"> and the UES calculation</w:t>
      </w:r>
      <w:r w:rsidRPr="00D13215">
        <w:rPr>
          <w:szCs w:val="22"/>
        </w:rPr>
        <w:t xml:space="preserve"> </w:t>
      </w:r>
      <w:r w:rsidR="0071025C" w:rsidRPr="00D13215">
        <w:rPr>
          <w:rFonts w:eastAsia="Times New Roman"/>
          <w:szCs w:val="22"/>
        </w:rPr>
        <w:t xml:space="preserve">replicated the approach </w:t>
      </w:r>
      <w:r w:rsidRPr="00D13215">
        <w:rPr>
          <w:szCs w:val="22"/>
        </w:rPr>
        <w:t>presented in the “Workpaper Disposition for Water Fixtures” issued by the California Public Utilities Commission (CPUC) in 2013</w:t>
      </w:r>
      <w:r w:rsidRPr="00D13215">
        <w:rPr>
          <w:rStyle w:val="FootnoteReference"/>
          <w:szCs w:val="22"/>
        </w:rPr>
        <w:footnoteReference w:id="5"/>
      </w:r>
      <w:r w:rsidRPr="00D13215">
        <w:rPr>
          <w:szCs w:val="22"/>
        </w:rPr>
        <w:t xml:space="preserve"> </w:t>
      </w:r>
      <w:r w:rsidR="0071025C" w:rsidRPr="00D13215">
        <w:rPr>
          <w:rFonts w:eastAsia="Times New Roman"/>
          <w:szCs w:val="22"/>
        </w:rPr>
        <w:t>to the extent possible.</w:t>
      </w:r>
      <w:r w:rsidR="00953A40" w:rsidRPr="00D13215">
        <w:rPr>
          <w:rFonts w:eastAsia="Times New Roman"/>
          <w:szCs w:val="22"/>
        </w:rPr>
        <w:t xml:space="preserve"> </w:t>
      </w:r>
      <w:r w:rsidR="00D13215" w:rsidRPr="00D13215">
        <w:rPr>
          <w:rStyle w:val="eTRMFootnoteTextChar"/>
          <w:sz w:val="22"/>
          <w:szCs w:val="22"/>
        </w:rPr>
        <w:t xml:space="preserve">Deviations from the 2013 CPUC disposition that were necessary for accuracy and consistency include the following: </w:t>
      </w:r>
    </w:p>
    <w:p w14:paraId="7F3570EA" w14:textId="43BA9187" w:rsidR="00D13215" w:rsidRPr="00F21411" w:rsidRDefault="00D13215" w:rsidP="00D13215">
      <w:pPr>
        <w:pStyle w:val="eTRMBulletedText"/>
        <w:rPr>
          <w:rStyle w:val="eTRMFootnoteTextChar"/>
          <w:sz w:val="22"/>
          <w:szCs w:val="22"/>
        </w:rPr>
      </w:pPr>
      <w:r w:rsidRPr="00F21411">
        <w:rPr>
          <w:rStyle w:val="eTRMFootnoteTextChar"/>
          <w:sz w:val="22"/>
          <w:szCs w:val="22"/>
        </w:rPr>
        <w:t>Climate zone adjustment factors in 2013 CPUC disposition were not used, but rather updated to be consistent climate zone groundwater temperatures developed for the Title 24 2013 weather data.</w:t>
      </w:r>
    </w:p>
    <w:p w14:paraId="4039B692" w14:textId="7D20CDAA" w:rsidR="00D13215" w:rsidRPr="00F21411" w:rsidRDefault="00D13215" w:rsidP="00D13215">
      <w:pPr>
        <w:pStyle w:val="eTRMBulletedText"/>
        <w:rPr>
          <w:rStyle w:val="eTRMFootnoteTextChar"/>
          <w:sz w:val="22"/>
          <w:szCs w:val="22"/>
        </w:rPr>
      </w:pPr>
      <w:r w:rsidRPr="00F21411">
        <w:rPr>
          <w:rStyle w:val="eTRMFootnoteTextChar"/>
          <w:sz w:val="22"/>
          <w:szCs w:val="22"/>
        </w:rPr>
        <w:t xml:space="preserve">The </w:t>
      </w:r>
      <w:r w:rsidR="00523E95" w:rsidRPr="00F21411">
        <w:rPr>
          <w:rStyle w:val="eTRMFootnoteTextChar"/>
          <w:sz w:val="22"/>
          <w:szCs w:val="22"/>
        </w:rPr>
        <w:t xml:space="preserve">2013 CPUC </w:t>
      </w:r>
      <w:r w:rsidRPr="00F21411">
        <w:rPr>
          <w:rStyle w:val="eTRMFootnoteTextChar"/>
          <w:sz w:val="22"/>
          <w:szCs w:val="22"/>
        </w:rPr>
        <w:t>disposition recommended 25 gpd based upon the NREL study for the DOE Building America analysis. The 25 gpd value is used directly</w:t>
      </w:r>
      <w:r w:rsidR="00F21411">
        <w:rPr>
          <w:rStyle w:val="eTRMFootnoteTextChar"/>
          <w:sz w:val="22"/>
          <w:szCs w:val="22"/>
        </w:rPr>
        <w:t xml:space="preserve"> for installations with 2.25 </w:t>
      </w:r>
      <w:proofErr w:type="spellStart"/>
      <w:r w:rsidR="00F21411">
        <w:rPr>
          <w:rStyle w:val="eTRMFootnoteTextChar"/>
          <w:sz w:val="22"/>
          <w:szCs w:val="22"/>
        </w:rPr>
        <w:t>gpm</w:t>
      </w:r>
      <w:proofErr w:type="spellEnd"/>
      <w:r w:rsidR="00F21411">
        <w:rPr>
          <w:rStyle w:val="eTRMFootnoteTextChar"/>
          <w:sz w:val="22"/>
          <w:szCs w:val="22"/>
        </w:rPr>
        <w:t xml:space="preserve"> code baseline</w:t>
      </w:r>
      <w:r w:rsidRPr="00F21411">
        <w:rPr>
          <w:rStyle w:val="eTRMFootnoteTextChar"/>
          <w:sz w:val="22"/>
          <w:szCs w:val="22"/>
        </w:rPr>
        <w:t xml:space="preserve">, but split between kitchen (54.8%, 13.7 gpd) and lavatory (45.2%, 11.3 gpd) for 2.9 aerators/household = 3.9 gpd/aerator).  This breakdown for lavatories is more conservative than the disposition since the disposition uses </w:t>
      </w:r>
      <w:r w:rsidR="00F21411">
        <w:rPr>
          <w:rStyle w:val="eTRMFootnoteTextChar"/>
          <w:sz w:val="22"/>
          <w:szCs w:val="22"/>
        </w:rPr>
        <w:t>two</w:t>
      </w:r>
      <w:r w:rsidRPr="00F21411">
        <w:rPr>
          <w:rStyle w:val="eTRMFootnoteTextChar"/>
          <w:sz w:val="22"/>
          <w:szCs w:val="22"/>
        </w:rPr>
        <w:t xml:space="preserve"> aerators/household, rather than 2.9.</w:t>
      </w:r>
    </w:p>
    <w:p w14:paraId="2E67FA4E" w14:textId="42C32D69" w:rsidR="00D13215" w:rsidRPr="00D13215" w:rsidRDefault="00D13215" w:rsidP="00D13215">
      <w:pPr>
        <w:pStyle w:val="eTRMBulletedText"/>
        <w:rPr>
          <w:rFonts w:eastAsia="Times New Roman"/>
        </w:rPr>
      </w:pPr>
      <w:r w:rsidRPr="00D13215">
        <w:lastRenderedPageBreak/>
        <w:t xml:space="preserve">The adjustment in the disposition from 59% energy factor to 77% recovery efficiency rate </w:t>
      </w:r>
      <w:r w:rsidR="00523E95">
        <w:t>was</w:t>
      </w:r>
      <w:r w:rsidRPr="00D13215">
        <w:t xml:space="preserve"> not necessary since the original calculations in the 2009 field survey data also used 77%.  This measure analysis </w:t>
      </w:r>
      <w:r w:rsidR="00286348">
        <w:t>utilizes</w:t>
      </w:r>
      <w:r w:rsidRPr="00D13215">
        <w:t xml:space="preserve"> a 77% recovery efficiency rate to be consistent with the direction of the disposition.</w:t>
      </w:r>
    </w:p>
    <w:p w14:paraId="229883F0" w14:textId="3EBFCAC9" w:rsidR="004444AB" w:rsidRPr="00B20B50" w:rsidRDefault="00847ECB" w:rsidP="004444AB">
      <w:bookmarkStart w:id="65" w:name="_Hlk511816414"/>
      <w:r>
        <w:t xml:space="preserve">Water savings was calculated as the difference between the </w:t>
      </w:r>
      <w:r w:rsidR="00523E95">
        <w:t>baseline</w:t>
      </w:r>
      <w:r>
        <w:t xml:space="preserve"> and measure case usage. </w:t>
      </w:r>
      <w:r w:rsidR="00286348">
        <w:t xml:space="preserve">Water usage (baseline or measure case) is a function of the flow rate, number of faucets per household, and assumed operating time. </w:t>
      </w:r>
    </w:p>
    <w:p w14:paraId="36E46D25" w14:textId="1813296C" w:rsidR="004444AB" w:rsidRPr="001543FB" w:rsidRDefault="004444AB" w:rsidP="004444AB">
      <w:pPr>
        <w:keepNext/>
        <w:keepLines/>
        <w:ind w:left="630"/>
        <w:rPr>
          <w:rFonts w:asciiTheme="minorHAnsi" w:hAnsiTheme="minorHAnsi"/>
          <w:sz w:val="18"/>
        </w:rPr>
      </w:pPr>
      <w:bookmarkStart w:id="66" w:name="_Hlk511900429"/>
      <w:bookmarkEnd w:id="65"/>
      <m:oMathPara>
        <m:oMathParaPr>
          <m:jc m:val="left"/>
        </m:oMathParaPr>
        <m:oMath>
          <m:r>
            <w:rPr>
              <w:rFonts w:ascii="Cambria Math" w:hAnsi="Cambria Math"/>
              <w:sz w:val="18"/>
            </w:rPr>
            <m:t>WS=</m:t>
          </m:r>
          <m:sSub>
            <m:sSubPr>
              <m:ctrlPr>
                <w:rPr>
                  <w:rFonts w:ascii="Cambria Math" w:hAnsi="Cambria Math" w:cs="Times New Roman"/>
                  <w:i/>
                  <w:sz w:val="18"/>
                </w:rPr>
              </m:ctrlPr>
            </m:sSubPr>
            <m:e>
              <m:r>
                <w:rPr>
                  <w:rFonts w:ascii="Cambria Math" w:hAnsi="Cambria Math" w:cs="Times New Roman"/>
                  <w:sz w:val="18"/>
                </w:rPr>
                <m:t>WU</m:t>
              </m:r>
            </m:e>
            <m:sub>
              <m:r>
                <w:rPr>
                  <w:rFonts w:ascii="Cambria Math" w:hAnsi="Cambria Math"/>
                  <w:sz w:val="18"/>
                </w:rPr>
                <m:t>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WU</m:t>
              </m:r>
            </m:e>
            <m:sub>
              <m:r>
                <w:rPr>
                  <w:rFonts w:ascii="Cambria Math" w:hAnsi="Cambria Math"/>
                  <w:sz w:val="18"/>
                </w:rPr>
                <m:t>measure</m:t>
              </m:r>
            </m:sub>
          </m:sSub>
        </m:oMath>
      </m:oMathPara>
    </w:p>
    <w:bookmarkEnd w:id="66"/>
    <w:p w14:paraId="25C00337" w14:textId="77777777" w:rsidR="00EE1EA2" w:rsidRPr="008560FF" w:rsidRDefault="00EE1EA2" w:rsidP="00EE1EA2"/>
    <w:p w14:paraId="38B16EB4" w14:textId="77777777" w:rsidR="004444AB" w:rsidRPr="000B726B" w:rsidRDefault="004444AB" w:rsidP="00847ECB">
      <w:pPr>
        <w:keepNext/>
        <w:keepLines/>
        <w:ind w:left="720"/>
        <w:rPr>
          <w:rFonts w:cs="Calibri Light"/>
          <w:sz w:val="18"/>
          <w:szCs w:val="22"/>
        </w:rPr>
      </w:pPr>
      <w:bookmarkStart w:id="67" w:name="_Hlk511642807"/>
      <m:oMathPara>
        <m:oMathParaPr>
          <m:jc m:val="left"/>
        </m:oMathParaPr>
        <m:oMath>
          <m:r>
            <w:rPr>
              <w:rFonts w:ascii="Cambria Math" w:hAnsi="Cambria Math" w:cs="Calibri Light"/>
              <w:sz w:val="18"/>
              <w:szCs w:val="22"/>
            </w:rPr>
            <m:t xml:space="preserve">WU= </m:t>
          </m:r>
          <m:f>
            <m:fPr>
              <m:ctrlPr>
                <w:rPr>
                  <w:rFonts w:ascii="Cambria Math" w:hAnsi="Cambria Math" w:cs="Calibri Light"/>
                  <w:i/>
                  <w:sz w:val="18"/>
                  <w:szCs w:val="22"/>
                </w:rPr>
              </m:ctrlPr>
            </m:fPr>
            <m:num>
              <m:r>
                <w:rPr>
                  <w:rFonts w:ascii="Cambria Math" w:hAnsi="Cambria Math" w:cs="Calibri Light"/>
                  <w:sz w:val="18"/>
                  <w:szCs w:val="22"/>
                </w:rPr>
                <m:t xml:space="preserve">FlowRate×Min ×Days </m:t>
              </m:r>
            </m:num>
            <m:den>
              <m:r>
                <w:rPr>
                  <w:rFonts w:ascii="Cambria Math" w:hAnsi="Cambria Math" w:cs="Calibri Light"/>
                  <w:sz w:val="18"/>
                  <w:szCs w:val="22"/>
                </w:rPr>
                <m:t>N</m:t>
              </m:r>
            </m:den>
          </m:f>
        </m:oMath>
      </m:oMathPara>
    </w:p>
    <w:p w14:paraId="47E05C54" w14:textId="77777777" w:rsidR="004444AB" w:rsidRDefault="004444AB" w:rsidP="00695CBC">
      <w:pPr>
        <w:keepNext/>
        <w:keepLines/>
        <w:tabs>
          <w:tab w:val="left" w:pos="2700"/>
        </w:tabs>
        <w:spacing w:before="20" w:after="20"/>
        <w:ind w:left="1440"/>
        <w:rPr>
          <w:rFonts w:ascii="Cambria Math" w:hAnsi="Cambria Math" w:cs="Calibri Light"/>
          <w:i/>
          <w:sz w:val="18"/>
          <w:szCs w:val="18"/>
        </w:rPr>
      </w:pPr>
      <w:bookmarkStart w:id="68" w:name="_Hlk511900512"/>
      <w:bookmarkStart w:id="69" w:name="_Hlk511642849"/>
      <w:bookmarkEnd w:id="67"/>
      <w:r>
        <w:rPr>
          <w:rFonts w:ascii="Cambria Math" w:hAnsi="Cambria Math" w:cs="Calibri Light"/>
          <w:i/>
          <w:sz w:val="18"/>
          <w:szCs w:val="18"/>
        </w:rPr>
        <w:t xml:space="preserve">WS = </w:t>
      </w:r>
      <w:r>
        <w:rPr>
          <w:rFonts w:ascii="Cambria Math" w:hAnsi="Cambria Math" w:cs="Calibri Light"/>
          <w:i/>
          <w:sz w:val="18"/>
          <w:szCs w:val="18"/>
        </w:rPr>
        <w:tab/>
        <w:t>Annual water savings (gal/year)</w:t>
      </w:r>
    </w:p>
    <w:p w14:paraId="0542DD68" w14:textId="77777777" w:rsidR="004444AB" w:rsidRDefault="004444AB" w:rsidP="00695CBC">
      <w:pPr>
        <w:keepNext/>
        <w:keepLines/>
        <w:tabs>
          <w:tab w:val="left" w:pos="2700"/>
        </w:tabs>
        <w:spacing w:before="20" w:after="20"/>
        <w:ind w:left="1440"/>
        <w:rPr>
          <w:rFonts w:ascii="Cambria Math" w:hAnsi="Cambria Math" w:cs="Calibri Light"/>
          <w:i/>
          <w:sz w:val="18"/>
          <w:szCs w:val="18"/>
        </w:rPr>
      </w:pPr>
      <m:oMath>
        <m:r>
          <w:rPr>
            <w:rFonts w:ascii="Cambria Math" w:hAnsi="Cambria Math" w:cs="Calibri Light"/>
            <w:sz w:val="18"/>
            <w:szCs w:val="18"/>
          </w:rPr>
          <m:t>WU</m:t>
        </m:r>
      </m:oMath>
      <w:r w:rsidRPr="000B726B">
        <w:rPr>
          <w:rFonts w:ascii="Cambria Math" w:hAnsi="Cambria Math" w:cs="Calibri Light"/>
          <w:i/>
          <w:sz w:val="18"/>
          <w:szCs w:val="18"/>
        </w:rPr>
        <w:t xml:space="preserve"> = </w:t>
      </w:r>
      <w:r>
        <w:rPr>
          <w:rFonts w:ascii="Cambria Math" w:hAnsi="Cambria Math" w:cs="Calibri Light"/>
          <w:i/>
          <w:sz w:val="18"/>
          <w:szCs w:val="18"/>
        </w:rPr>
        <w:tab/>
        <w:t>A</w:t>
      </w:r>
      <w:r w:rsidRPr="000B726B">
        <w:rPr>
          <w:rFonts w:ascii="Cambria Math" w:hAnsi="Cambria Math" w:cs="Calibri Light"/>
          <w:i/>
          <w:sz w:val="18"/>
          <w:szCs w:val="18"/>
        </w:rPr>
        <w:t xml:space="preserve">nnual water </w:t>
      </w:r>
      <w:r>
        <w:rPr>
          <w:rFonts w:ascii="Cambria Math" w:hAnsi="Cambria Math" w:cs="Calibri Light"/>
          <w:i/>
          <w:sz w:val="18"/>
          <w:szCs w:val="18"/>
        </w:rPr>
        <w:t>use (gal/year), for base or measure case</w:t>
      </w:r>
    </w:p>
    <w:bookmarkEnd w:id="68"/>
    <w:p w14:paraId="71349EEB" w14:textId="77777777" w:rsidR="004444AB" w:rsidRDefault="004444AB" w:rsidP="00695CBC">
      <w:pPr>
        <w:keepNext/>
        <w:keepLines/>
        <w:tabs>
          <w:tab w:val="left" w:pos="270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FlowRate</w:t>
      </w:r>
      <w:proofErr w:type="spellEnd"/>
      <w:r w:rsidRPr="000B726B">
        <w:rPr>
          <w:rFonts w:ascii="Cambria Math" w:hAnsi="Cambria Math" w:cs="Calibri Light"/>
          <w:i/>
          <w:sz w:val="18"/>
          <w:szCs w:val="18"/>
        </w:rPr>
        <w:t xml:space="preserve"> = </w:t>
      </w:r>
      <w:r>
        <w:rPr>
          <w:rFonts w:ascii="Cambria Math" w:hAnsi="Cambria Math" w:cs="Calibri Light"/>
          <w:i/>
          <w:sz w:val="18"/>
          <w:szCs w:val="18"/>
        </w:rPr>
        <w:tab/>
        <w:t>Water v</w:t>
      </w:r>
      <w:r w:rsidRPr="000B726B">
        <w:rPr>
          <w:rFonts w:ascii="Cambria Math" w:hAnsi="Cambria Math" w:cs="Calibri Light"/>
          <w:i/>
          <w:sz w:val="18"/>
          <w:szCs w:val="18"/>
        </w:rPr>
        <w:t>olume flow rate</w:t>
      </w:r>
      <w:r>
        <w:rPr>
          <w:rFonts w:ascii="Cambria Math" w:hAnsi="Cambria Math" w:cs="Calibri Light"/>
          <w:i/>
          <w:sz w:val="18"/>
          <w:szCs w:val="18"/>
        </w:rPr>
        <w:t xml:space="preserve"> (</w:t>
      </w:r>
      <w:proofErr w:type="spellStart"/>
      <w:r>
        <w:rPr>
          <w:rFonts w:ascii="Cambria Math" w:hAnsi="Cambria Math" w:cs="Calibri Light"/>
          <w:i/>
          <w:sz w:val="18"/>
          <w:szCs w:val="18"/>
        </w:rPr>
        <w:t>gpm</w:t>
      </w:r>
      <w:proofErr w:type="spellEnd"/>
      <w:r>
        <w:rPr>
          <w:rFonts w:ascii="Cambria Math" w:hAnsi="Cambria Math" w:cs="Calibri Light"/>
          <w:i/>
          <w:sz w:val="18"/>
          <w:szCs w:val="18"/>
        </w:rPr>
        <w:t>), for base or measure case</w:t>
      </w:r>
    </w:p>
    <w:p w14:paraId="0AC189CC" w14:textId="77777777" w:rsidR="004444AB" w:rsidRDefault="004444AB" w:rsidP="00695CBC">
      <w:pPr>
        <w:tabs>
          <w:tab w:val="left" w:pos="2700"/>
        </w:tabs>
        <w:spacing w:before="20" w:after="20"/>
        <w:ind w:left="1440"/>
        <w:rPr>
          <w:rFonts w:ascii="Cambria Math" w:hAnsi="Cambria Math" w:cs="Calibri Light"/>
          <w:i/>
          <w:sz w:val="18"/>
          <w:szCs w:val="18"/>
        </w:rPr>
      </w:pPr>
      <w:bookmarkStart w:id="70" w:name="_Hlk511900558"/>
      <w:r>
        <w:rPr>
          <w:rFonts w:ascii="Cambria Math" w:hAnsi="Cambria Math" w:cs="Calibri Light"/>
          <w:i/>
          <w:sz w:val="18"/>
          <w:szCs w:val="18"/>
        </w:rPr>
        <w:t xml:space="preserve">Min = </w:t>
      </w:r>
      <w:r>
        <w:rPr>
          <w:rFonts w:ascii="Cambria Math" w:hAnsi="Cambria Math" w:cs="Calibri Light"/>
          <w:i/>
          <w:sz w:val="18"/>
          <w:szCs w:val="18"/>
        </w:rPr>
        <w:tab/>
        <w:t xml:space="preserve">Faucet average operating time (min/day) </w:t>
      </w:r>
    </w:p>
    <w:p w14:paraId="3DD0044B" w14:textId="77777777" w:rsidR="004444AB" w:rsidRDefault="004444AB" w:rsidP="00695CBC">
      <w:pPr>
        <w:tabs>
          <w:tab w:val="left" w:pos="2700"/>
        </w:tabs>
        <w:spacing w:before="20" w:after="20"/>
        <w:ind w:left="1440"/>
        <w:rPr>
          <w:rFonts w:ascii="Cambria Math" w:hAnsi="Cambria Math" w:cs="Calibri Light"/>
          <w:i/>
          <w:sz w:val="18"/>
          <w:szCs w:val="18"/>
        </w:rPr>
      </w:pPr>
      <w:bookmarkStart w:id="71" w:name="_Hlk511900622"/>
      <w:bookmarkEnd w:id="70"/>
      <w:r>
        <w:rPr>
          <w:rFonts w:ascii="Cambria Math" w:hAnsi="Cambria Math" w:cs="Calibri Light"/>
          <w:i/>
          <w:sz w:val="18"/>
          <w:szCs w:val="18"/>
        </w:rPr>
        <w:t xml:space="preserve">Days = </w:t>
      </w:r>
      <w:r>
        <w:rPr>
          <w:rFonts w:ascii="Cambria Math" w:hAnsi="Cambria Math" w:cs="Calibri Light"/>
          <w:i/>
          <w:sz w:val="18"/>
          <w:szCs w:val="18"/>
        </w:rPr>
        <w:tab/>
        <w:t>Faucet days of operation (days/year)</w:t>
      </w:r>
    </w:p>
    <w:p w14:paraId="70417906" w14:textId="77777777" w:rsidR="004444AB" w:rsidRPr="000B726B" w:rsidRDefault="004444AB" w:rsidP="00695CBC">
      <w:pPr>
        <w:tabs>
          <w:tab w:val="left" w:pos="2700"/>
        </w:tabs>
        <w:spacing w:before="20" w:after="20"/>
        <w:ind w:left="1440"/>
        <w:rPr>
          <w:rFonts w:ascii="Cambria Math" w:hAnsi="Cambria Math"/>
          <w:i/>
          <w:sz w:val="18"/>
          <w:szCs w:val="18"/>
        </w:rPr>
      </w:pPr>
      <w:bookmarkStart w:id="72" w:name="_Hlk511900590"/>
      <w:bookmarkEnd w:id="69"/>
      <w:bookmarkEnd w:id="71"/>
      <w:r>
        <w:rPr>
          <w:rFonts w:ascii="Cambria Math" w:hAnsi="Cambria Math" w:cs="Calibri Light"/>
          <w:i/>
          <w:sz w:val="18"/>
          <w:szCs w:val="18"/>
        </w:rPr>
        <w:t xml:space="preserve">N </w:t>
      </w:r>
      <w:r w:rsidRPr="000B726B">
        <w:rPr>
          <w:rFonts w:ascii="Cambria Math" w:hAnsi="Cambria Math" w:cs="Calibri Light"/>
          <w:i/>
          <w:sz w:val="18"/>
          <w:szCs w:val="18"/>
        </w:rPr>
        <w:t xml:space="preserve">= </w:t>
      </w:r>
      <w:r>
        <w:rPr>
          <w:rFonts w:ascii="Cambria Math" w:hAnsi="Cambria Math" w:cs="Calibri Light"/>
          <w:i/>
          <w:sz w:val="18"/>
          <w:szCs w:val="18"/>
        </w:rPr>
        <w:tab/>
        <w:t>N</w:t>
      </w:r>
      <w:r w:rsidRPr="000B726B">
        <w:rPr>
          <w:rFonts w:ascii="Cambria Math" w:hAnsi="Cambria Math" w:cs="Calibri Light"/>
          <w:i/>
          <w:sz w:val="18"/>
          <w:szCs w:val="18"/>
        </w:rPr>
        <w:t xml:space="preserve">umber of </w:t>
      </w:r>
      <w:r>
        <w:rPr>
          <w:rFonts w:ascii="Cambria Math" w:hAnsi="Cambria Math" w:cs="Calibri Light"/>
          <w:i/>
          <w:sz w:val="18"/>
          <w:szCs w:val="18"/>
        </w:rPr>
        <w:t>faucets</w:t>
      </w:r>
      <w:r w:rsidRPr="000B726B">
        <w:rPr>
          <w:rFonts w:ascii="Cambria Math" w:hAnsi="Cambria Math" w:cs="Calibri Light"/>
          <w:i/>
          <w:sz w:val="18"/>
          <w:szCs w:val="18"/>
        </w:rPr>
        <w:t xml:space="preserve"> per household</w:t>
      </w:r>
      <w:r>
        <w:rPr>
          <w:rFonts w:ascii="Cambria Math" w:hAnsi="Cambria Math" w:cs="Calibri Light"/>
          <w:i/>
          <w:sz w:val="18"/>
          <w:szCs w:val="18"/>
        </w:rPr>
        <w:t xml:space="preserve">, </w:t>
      </w:r>
      <w:r w:rsidRPr="000B726B">
        <w:rPr>
          <w:rFonts w:ascii="Cambria Math" w:hAnsi="Cambria Math" w:cs="Calibri Light"/>
          <w:i/>
          <w:sz w:val="18"/>
          <w:szCs w:val="18"/>
        </w:rPr>
        <w:t>SF or MF</w:t>
      </w:r>
    </w:p>
    <w:bookmarkEnd w:id="72"/>
    <w:p w14:paraId="1ACCDBD6" w14:textId="77777777" w:rsidR="004444AB" w:rsidRPr="008560FF" w:rsidRDefault="004444AB" w:rsidP="00EE1EA2"/>
    <w:p w14:paraId="401A4F93" w14:textId="5618C511" w:rsidR="004444AB" w:rsidRDefault="00EE1EA2">
      <w:pPr>
        <w:rPr>
          <w:rFonts w:cs="Calibri Light"/>
        </w:rPr>
      </w:pPr>
      <w:bookmarkStart w:id="73" w:name="_Hlk511900976"/>
      <w:r>
        <w:rPr>
          <w:rFonts w:cs="Calibri Light"/>
        </w:rPr>
        <w:t>T</w:t>
      </w:r>
      <w:r w:rsidR="004444AB">
        <w:rPr>
          <w:rFonts w:cs="Calibri Light"/>
        </w:rPr>
        <w:t>he</w:t>
      </w:r>
      <w:r w:rsidR="004444AB" w:rsidRPr="00B20B50">
        <w:rPr>
          <w:rFonts w:cs="Calibri Light"/>
        </w:rPr>
        <w:t xml:space="preserve"> inputs</w:t>
      </w:r>
      <w:r w:rsidR="004444AB">
        <w:rPr>
          <w:rFonts w:cs="Calibri Light"/>
        </w:rPr>
        <w:t xml:space="preserve"> to </w:t>
      </w:r>
      <w:r w:rsidR="00B04730">
        <w:rPr>
          <w:rFonts w:cs="Calibri Light"/>
        </w:rPr>
        <w:t xml:space="preserve">the </w:t>
      </w:r>
      <w:r w:rsidR="004444AB">
        <w:rPr>
          <w:rFonts w:cs="Calibri Light"/>
        </w:rPr>
        <w:t xml:space="preserve">base case and measure case water </w:t>
      </w:r>
      <w:r w:rsidR="00695CBC">
        <w:rPr>
          <w:rFonts w:cs="Calibri Light"/>
        </w:rPr>
        <w:t>usage</w:t>
      </w:r>
      <w:r w:rsidR="000859C4">
        <w:rPr>
          <w:rFonts w:cs="Calibri Light"/>
        </w:rPr>
        <w:t xml:space="preserve"> </w:t>
      </w:r>
      <w:r w:rsidR="00B04730">
        <w:rPr>
          <w:rFonts w:cs="Calibri Light"/>
        </w:rPr>
        <w:t xml:space="preserve">calculation </w:t>
      </w:r>
      <w:r w:rsidR="000859C4">
        <w:rPr>
          <w:rFonts w:cs="Calibri Light"/>
        </w:rPr>
        <w:t xml:space="preserve">are </w:t>
      </w:r>
      <w:r w:rsidR="00A733CE">
        <w:rPr>
          <w:rFonts w:cs="Calibri Light"/>
        </w:rPr>
        <w:t>specified</w:t>
      </w:r>
      <w:r w:rsidR="000859C4">
        <w:rPr>
          <w:rFonts w:cs="Calibri Light"/>
        </w:rPr>
        <w:t xml:space="preserve"> and explained below</w:t>
      </w:r>
      <w:r w:rsidR="004444AB">
        <w:rPr>
          <w:rFonts w:cs="Calibri Light"/>
        </w:rPr>
        <w:t xml:space="preserve">. </w:t>
      </w:r>
      <w:r w:rsidR="00A723C1">
        <w:t>Note that this measure is applicable for single family, multifamily, and mobile home installations. Due to lack of data on mobile home water usage, particularly at the fixture type level (showerhead, faucet), the mobile home water usage and savings calculations adopt the more conservative multifamily values.</w:t>
      </w:r>
    </w:p>
    <w:p w14:paraId="78E0D8A5" w14:textId="2DA4CDF8" w:rsidR="004444AB" w:rsidRDefault="004444AB" w:rsidP="004444AB">
      <w:pPr>
        <w:pStyle w:val="Caption"/>
        <w:rPr>
          <w:rFonts w:cs="Calibri Light"/>
          <w:szCs w:val="20"/>
        </w:rPr>
      </w:pPr>
      <w:r>
        <w:rPr>
          <w:rFonts w:cs="Calibri Light"/>
          <w:szCs w:val="20"/>
        </w:rPr>
        <w:t xml:space="preserve">Base Case Water </w:t>
      </w:r>
      <w:r w:rsidR="00695CBC">
        <w:rPr>
          <w:rFonts w:cs="Calibri Light"/>
          <w:szCs w:val="20"/>
        </w:rPr>
        <w:t>Usage</w:t>
      </w:r>
      <w:r>
        <w:rPr>
          <w:rFonts w:cs="Calibri Light"/>
          <w:szCs w:val="20"/>
        </w:rPr>
        <w:t xml:space="preserve"> </w:t>
      </w:r>
      <w:r w:rsidR="00A733CE">
        <w:rPr>
          <w:rFonts w:cs="Calibri Light"/>
          <w:szCs w:val="20"/>
        </w:rPr>
        <w:t>Inputs</w:t>
      </w:r>
      <w:r w:rsidR="00A733CE" w:rsidRPr="008560FF">
        <w:rPr>
          <w:rFonts w:cs="Calibri Light"/>
          <w:szCs w:val="20"/>
        </w:rPr>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990"/>
        <w:gridCol w:w="990"/>
        <w:gridCol w:w="990"/>
        <w:gridCol w:w="4140"/>
      </w:tblGrid>
      <w:tr w:rsidR="004444AB" w:rsidRPr="002D723D" w14:paraId="224A7CD8" w14:textId="77777777" w:rsidTr="00D13215">
        <w:trPr>
          <w:trHeight w:val="260"/>
        </w:trPr>
        <w:tc>
          <w:tcPr>
            <w:tcW w:w="9535" w:type="dxa"/>
            <w:gridSpan w:val="5"/>
            <w:shd w:val="clear" w:color="auto" w:fill="F2F2F2" w:themeFill="background1" w:themeFillShade="F2"/>
            <w:noWrap/>
            <w:vAlign w:val="bottom"/>
          </w:tcPr>
          <w:p w14:paraId="64E43823" w14:textId="5D806DBB" w:rsidR="004444AB" w:rsidRDefault="0050308E" w:rsidP="00D537A1">
            <w:pPr>
              <w:keepNext/>
              <w:keepLines/>
              <w:spacing w:before="0" w:after="0" w:line="240" w:lineRule="auto"/>
              <w:jc w:val="center"/>
              <w:rPr>
                <w:rFonts w:eastAsia="Times New Roman" w:cs="Calibri Light"/>
                <w:b/>
                <w:sz w:val="20"/>
                <w:szCs w:val="20"/>
              </w:rPr>
            </w:pPr>
            <w:r>
              <w:rPr>
                <w:rFonts w:eastAsia="Times New Roman" w:cs="Calibri Light"/>
                <w:b/>
                <w:sz w:val="20"/>
                <w:szCs w:val="20"/>
              </w:rPr>
              <w:br/>
            </w:r>
            <w:r w:rsidR="004444AB">
              <w:rPr>
                <w:rFonts w:eastAsia="Times New Roman" w:cs="Calibri Light"/>
                <w:b/>
                <w:sz w:val="20"/>
                <w:szCs w:val="20"/>
              </w:rPr>
              <w:t>Single Family</w:t>
            </w:r>
          </w:p>
        </w:tc>
      </w:tr>
      <w:tr w:rsidR="004444AB" w:rsidRPr="002D723D" w14:paraId="7B9C7F97" w14:textId="77777777" w:rsidTr="00D13215">
        <w:trPr>
          <w:trHeight w:val="260"/>
        </w:trPr>
        <w:tc>
          <w:tcPr>
            <w:tcW w:w="2425" w:type="dxa"/>
            <w:shd w:val="clear" w:color="auto" w:fill="F2F2F2" w:themeFill="background1" w:themeFillShade="F2"/>
            <w:noWrap/>
            <w:vAlign w:val="bottom"/>
          </w:tcPr>
          <w:p w14:paraId="1EA4340D" w14:textId="77777777" w:rsidR="004444AB" w:rsidRPr="002D723D" w:rsidRDefault="004444AB" w:rsidP="00D537A1">
            <w:pPr>
              <w:keepNext/>
              <w:keepLines/>
              <w:spacing w:before="0" w:after="0" w:line="240" w:lineRule="auto"/>
              <w:rPr>
                <w:rFonts w:eastAsia="Times New Roman" w:cs="Calibri Light"/>
                <w:b/>
                <w:sz w:val="20"/>
                <w:szCs w:val="20"/>
              </w:rPr>
            </w:pPr>
            <w:r>
              <w:rPr>
                <w:rFonts w:eastAsia="Times New Roman" w:cs="Calibri Light"/>
                <w:b/>
                <w:sz w:val="20"/>
                <w:szCs w:val="20"/>
              </w:rPr>
              <w:t>Parameter</w:t>
            </w:r>
          </w:p>
        </w:tc>
        <w:tc>
          <w:tcPr>
            <w:tcW w:w="990" w:type="dxa"/>
            <w:shd w:val="clear" w:color="auto" w:fill="F2F2F2" w:themeFill="background1" w:themeFillShade="F2"/>
            <w:noWrap/>
            <w:vAlign w:val="bottom"/>
          </w:tcPr>
          <w:p w14:paraId="1C6D9870" w14:textId="77777777" w:rsidR="004444AB" w:rsidRPr="002D723D" w:rsidRDefault="004444AB" w:rsidP="00D537A1">
            <w:pPr>
              <w:keepNext/>
              <w:keepLines/>
              <w:spacing w:before="0" w:after="0" w:line="240" w:lineRule="auto"/>
              <w:rPr>
                <w:rFonts w:eastAsia="Times New Roman" w:cs="Calibri Light"/>
                <w:b/>
                <w:sz w:val="20"/>
                <w:szCs w:val="20"/>
              </w:rPr>
            </w:pPr>
            <w:r>
              <w:rPr>
                <w:rFonts w:eastAsia="Times New Roman" w:cs="Calibri Light"/>
                <w:b/>
                <w:sz w:val="20"/>
                <w:szCs w:val="20"/>
              </w:rPr>
              <w:t>Units</w:t>
            </w:r>
          </w:p>
        </w:tc>
        <w:tc>
          <w:tcPr>
            <w:tcW w:w="990" w:type="dxa"/>
            <w:shd w:val="clear" w:color="auto" w:fill="F2F2F2" w:themeFill="background1" w:themeFillShade="F2"/>
            <w:noWrap/>
            <w:vAlign w:val="bottom"/>
          </w:tcPr>
          <w:p w14:paraId="337DBFA1" w14:textId="77777777" w:rsidR="004444AB" w:rsidRPr="002D723D" w:rsidRDefault="004444AB" w:rsidP="00D537A1">
            <w:pPr>
              <w:keepNext/>
              <w:keepLines/>
              <w:spacing w:before="0" w:after="0" w:line="240" w:lineRule="auto"/>
              <w:jc w:val="center"/>
              <w:rPr>
                <w:rFonts w:eastAsia="Times New Roman" w:cs="Calibri Light"/>
                <w:b/>
                <w:sz w:val="20"/>
                <w:szCs w:val="20"/>
              </w:rPr>
            </w:pPr>
            <w:r>
              <w:rPr>
                <w:rFonts w:eastAsia="Times New Roman" w:cs="Calibri Light"/>
                <w:b/>
                <w:sz w:val="20"/>
                <w:szCs w:val="20"/>
              </w:rPr>
              <w:t>Kitchen</w:t>
            </w:r>
          </w:p>
        </w:tc>
        <w:tc>
          <w:tcPr>
            <w:tcW w:w="990" w:type="dxa"/>
            <w:shd w:val="clear" w:color="auto" w:fill="F2F2F2" w:themeFill="background1" w:themeFillShade="F2"/>
            <w:noWrap/>
            <w:vAlign w:val="bottom"/>
          </w:tcPr>
          <w:p w14:paraId="7A2D4D24" w14:textId="77777777" w:rsidR="004444AB" w:rsidRPr="002D723D" w:rsidRDefault="004444AB" w:rsidP="00D537A1">
            <w:pPr>
              <w:keepNext/>
              <w:keepLines/>
              <w:spacing w:before="0" w:after="0" w:line="240" w:lineRule="auto"/>
              <w:jc w:val="center"/>
              <w:rPr>
                <w:rFonts w:eastAsia="Times New Roman" w:cs="Calibri Light"/>
                <w:b/>
                <w:sz w:val="20"/>
                <w:szCs w:val="20"/>
              </w:rPr>
            </w:pPr>
            <w:r>
              <w:rPr>
                <w:rFonts w:eastAsia="Times New Roman" w:cs="Calibri Light"/>
                <w:b/>
                <w:sz w:val="20"/>
                <w:szCs w:val="20"/>
              </w:rPr>
              <w:t>Lavatory</w:t>
            </w:r>
          </w:p>
        </w:tc>
        <w:tc>
          <w:tcPr>
            <w:tcW w:w="4140" w:type="dxa"/>
            <w:shd w:val="clear" w:color="auto" w:fill="F2F2F2" w:themeFill="background1" w:themeFillShade="F2"/>
          </w:tcPr>
          <w:p w14:paraId="36F54D1F" w14:textId="77777777" w:rsidR="004444AB" w:rsidRPr="002D723D" w:rsidRDefault="004444AB" w:rsidP="00D537A1">
            <w:pPr>
              <w:keepNext/>
              <w:keepLines/>
              <w:spacing w:before="0" w:after="0" w:line="240" w:lineRule="auto"/>
              <w:rPr>
                <w:rFonts w:eastAsia="Times New Roman" w:cs="Calibri Light"/>
                <w:b/>
                <w:sz w:val="20"/>
                <w:szCs w:val="20"/>
              </w:rPr>
            </w:pPr>
            <w:r>
              <w:rPr>
                <w:rFonts w:eastAsia="Times New Roman" w:cs="Calibri Light"/>
                <w:b/>
                <w:sz w:val="20"/>
                <w:szCs w:val="20"/>
              </w:rPr>
              <w:t>Source</w:t>
            </w:r>
          </w:p>
        </w:tc>
      </w:tr>
      <w:tr w:rsidR="004444AB" w:rsidRPr="002D723D" w14:paraId="1E9180EB" w14:textId="77777777" w:rsidTr="00D13215">
        <w:trPr>
          <w:trHeight w:val="260"/>
        </w:trPr>
        <w:tc>
          <w:tcPr>
            <w:tcW w:w="2425" w:type="dxa"/>
            <w:shd w:val="clear" w:color="auto" w:fill="auto"/>
            <w:noWrap/>
            <w:vAlign w:val="center"/>
            <w:hideMark/>
          </w:tcPr>
          <w:p w14:paraId="3DD7C22F" w14:textId="77777777" w:rsidR="004444AB" w:rsidRPr="002D723D" w:rsidRDefault="004444AB" w:rsidP="00D537A1">
            <w:pPr>
              <w:keepNext/>
              <w:keepLines/>
              <w:spacing w:before="0" w:after="0" w:line="240" w:lineRule="auto"/>
              <w:rPr>
                <w:rFonts w:eastAsia="Times New Roman" w:cs="Calibri Light"/>
                <w:sz w:val="20"/>
                <w:szCs w:val="20"/>
              </w:rPr>
            </w:pPr>
            <w:r w:rsidRPr="002D723D">
              <w:rPr>
                <w:rFonts w:eastAsia="Times New Roman" w:cs="Calibri Light"/>
                <w:sz w:val="20"/>
                <w:szCs w:val="20"/>
              </w:rPr>
              <w:t>Base Case Flow Rate</w:t>
            </w:r>
          </w:p>
        </w:tc>
        <w:tc>
          <w:tcPr>
            <w:tcW w:w="990" w:type="dxa"/>
            <w:shd w:val="clear" w:color="auto" w:fill="auto"/>
            <w:noWrap/>
            <w:vAlign w:val="center"/>
            <w:hideMark/>
          </w:tcPr>
          <w:p w14:paraId="19416882" w14:textId="77777777" w:rsidR="004444AB" w:rsidRPr="002D723D" w:rsidRDefault="004444AB" w:rsidP="00D537A1">
            <w:pPr>
              <w:keepNext/>
              <w:keepLines/>
              <w:spacing w:before="0" w:after="0" w:line="240" w:lineRule="auto"/>
              <w:rPr>
                <w:rFonts w:eastAsia="Times New Roman" w:cs="Calibri Light"/>
                <w:sz w:val="20"/>
                <w:szCs w:val="20"/>
              </w:rPr>
            </w:pPr>
            <w:proofErr w:type="spellStart"/>
            <w:r w:rsidRPr="002D723D">
              <w:rPr>
                <w:rFonts w:eastAsia="Times New Roman" w:cs="Calibri Light"/>
                <w:sz w:val="20"/>
                <w:szCs w:val="20"/>
              </w:rPr>
              <w:t>gpm</w:t>
            </w:r>
            <w:proofErr w:type="spellEnd"/>
          </w:p>
        </w:tc>
        <w:tc>
          <w:tcPr>
            <w:tcW w:w="990" w:type="dxa"/>
            <w:shd w:val="clear" w:color="auto" w:fill="auto"/>
            <w:noWrap/>
            <w:vAlign w:val="center"/>
            <w:hideMark/>
          </w:tcPr>
          <w:p w14:paraId="7D52F81F" w14:textId="77777777" w:rsidR="004444AB" w:rsidRPr="00BC4F93" w:rsidRDefault="004444AB" w:rsidP="00D537A1">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2.2</w:t>
            </w:r>
          </w:p>
        </w:tc>
        <w:tc>
          <w:tcPr>
            <w:tcW w:w="990" w:type="dxa"/>
            <w:shd w:val="clear" w:color="auto" w:fill="auto"/>
            <w:noWrap/>
            <w:vAlign w:val="center"/>
            <w:hideMark/>
          </w:tcPr>
          <w:p w14:paraId="7305C69A" w14:textId="77777777" w:rsidR="004444AB" w:rsidRPr="00BC4F93" w:rsidRDefault="004444AB" w:rsidP="00D537A1">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2.2</w:t>
            </w:r>
          </w:p>
        </w:tc>
        <w:tc>
          <w:tcPr>
            <w:tcW w:w="4140" w:type="dxa"/>
            <w:vAlign w:val="center"/>
          </w:tcPr>
          <w:p w14:paraId="3FA10033" w14:textId="29C40D3D" w:rsidR="004444AB" w:rsidRPr="00E03CD7" w:rsidRDefault="00E35947" w:rsidP="00D537A1">
            <w:pPr>
              <w:keepNext/>
              <w:keepLines/>
              <w:spacing w:before="0" w:after="0" w:line="240" w:lineRule="auto"/>
              <w:rPr>
                <w:rFonts w:eastAsia="Times New Roman" w:cs="Calibri Light"/>
                <w:sz w:val="18"/>
                <w:szCs w:val="20"/>
              </w:rPr>
            </w:pPr>
            <w:r w:rsidRPr="00252C37">
              <w:rPr>
                <w:sz w:val="18"/>
              </w:rPr>
              <w:t>Sempra Energy Utilities (SEU). 2012. “</w:t>
            </w:r>
            <w:r>
              <w:rPr>
                <w:sz w:val="18"/>
              </w:rPr>
              <w:t>SEU</w:t>
            </w:r>
            <w:r w:rsidRPr="00252C37">
              <w:rPr>
                <w:sz w:val="18"/>
              </w:rPr>
              <w:t xml:space="preserve"> 2009 ASW Data REDACTED.xlsx”.</w:t>
            </w:r>
          </w:p>
        </w:tc>
      </w:tr>
      <w:tr w:rsidR="004444AB" w:rsidRPr="002D723D" w14:paraId="464C44AD" w14:textId="77777777" w:rsidTr="00D13215">
        <w:trPr>
          <w:trHeight w:val="260"/>
        </w:trPr>
        <w:tc>
          <w:tcPr>
            <w:tcW w:w="2425" w:type="dxa"/>
            <w:shd w:val="clear" w:color="auto" w:fill="auto"/>
            <w:noWrap/>
            <w:vAlign w:val="center"/>
            <w:hideMark/>
          </w:tcPr>
          <w:p w14:paraId="4F0B696C" w14:textId="556D5262" w:rsidR="004444AB" w:rsidRPr="002D723D" w:rsidRDefault="004444AB" w:rsidP="00D537A1">
            <w:pPr>
              <w:keepNext/>
              <w:keepLines/>
              <w:spacing w:before="0" w:after="0" w:line="240" w:lineRule="auto"/>
              <w:rPr>
                <w:rFonts w:eastAsia="Times New Roman" w:cs="Calibri Light"/>
                <w:sz w:val="20"/>
                <w:szCs w:val="20"/>
              </w:rPr>
            </w:pPr>
            <w:r w:rsidRPr="002D723D">
              <w:rPr>
                <w:rFonts w:eastAsia="Times New Roman" w:cs="Calibri Light"/>
                <w:sz w:val="20"/>
                <w:szCs w:val="20"/>
              </w:rPr>
              <w:t xml:space="preserve">Average </w:t>
            </w:r>
            <w:r>
              <w:rPr>
                <w:rFonts w:eastAsia="Times New Roman" w:cs="Calibri Light"/>
                <w:sz w:val="20"/>
                <w:szCs w:val="20"/>
              </w:rPr>
              <w:t>Faucet Use</w:t>
            </w:r>
            <w:r w:rsidR="00523E95">
              <w:rPr>
                <w:rFonts w:eastAsia="Times New Roman" w:cs="Calibri Light"/>
                <w:sz w:val="20"/>
                <w:szCs w:val="20"/>
              </w:rPr>
              <w:t xml:space="preserve"> Time</w:t>
            </w:r>
          </w:p>
        </w:tc>
        <w:tc>
          <w:tcPr>
            <w:tcW w:w="990" w:type="dxa"/>
            <w:shd w:val="clear" w:color="auto" w:fill="auto"/>
            <w:noWrap/>
            <w:vAlign w:val="center"/>
            <w:hideMark/>
          </w:tcPr>
          <w:p w14:paraId="03D83AF7" w14:textId="77777777" w:rsidR="004444AB" w:rsidRPr="002D723D" w:rsidRDefault="004444AB" w:rsidP="00D537A1">
            <w:pPr>
              <w:keepNext/>
              <w:keepLines/>
              <w:spacing w:before="0" w:after="0" w:line="240" w:lineRule="auto"/>
              <w:rPr>
                <w:rFonts w:eastAsia="Times New Roman" w:cs="Calibri Light"/>
                <w:sz w:val="20"/>
                <w:szCs w:val="20"/>
              </w:rPr>
            </w:pPr>
            <w:r w:rsidRPr="002D723D">
              <w:rPr>
                <w:rFonts w:eastAsia="Times New Roman" w:cs="Calibri Light"/>
                <w:sz w:val="20"/>
                <w:szCs w:val="20"/>
              </w:rPr>
              <w:t>min/day</w:t>
            </w:r>
          </w:p>
        </w:tc>
        <w:tc>
          <w:tcPr>
            <w:tcW w:w="990" w:type="dxa"/>
            <w:shd w:val="clear" w:color="auto" w:fill="auto"/>
            <w:noWrap/>
            <w:vAlign w:val="center"/>
            <w:hideMark/>
          </w:tcPr>
          <w:p w14:paraId="195ACA55" w14:textId="267E8062" w:rsidR="004444AB" w:rsidRPr="00BC4F93" w:rsidRDefault="004444AB" w:rsidP="00D537A1">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6.</w:t>
            </w:r>
            <w:r w:rsidR="003B320D" w:rsidRPr="00BC4F93">
              <w:rPr>
                <w:rFonts w:eastAsia="Times New Roman" w:cs="Calibri Light"/>
                <w:sz w:val="20"/>
                <w:szCs w:val="20"/>
              </w:rPr>
              <w:t>08</w:t>
            </w:r>
          </w:p>
        </w:tc>
        <w:tc>
          <w:tcPr>
            <w:tcW w:w="990" w:type="dxa"/>
            <w:shd w:val="clear" w:color="auto" w:fill="auto"/>
            <w:noWrap/>
            <w:vAlign w:val="center"/>
            <w:hideMark/>
          </w:tcPr>
          <w:p w14:paraId="4B10E5FC" w14:textId="5E0FE88C" w:rsidR="004444AB" w:rsidRPr="00BC4F93" w:rsidRDefault="004444AB" w:rsidP="00D537A1">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5.</w:t>
            </w:r>
            <w:r w:rsidR="003B320D" w:rsidRPr="00BC4F93">
              <w:rPr>
                <w:rFonts w:eastAsia="Times New Roman" w:cs="Calibri Light"/>
                <w:sz w:val="20"/>
                <w:szCs w:val="20"/>
              </w:rPr>
              <w:t>02</w:t>
            </w:r>
          </w:p>
        </w:tc>
        <w:tc>
          <w:tcPr>
            <w:tcW w:w="4140" w:type="dxa"/>
            <w:vAlign w:val="center"/>
          </w:tcPr>
          <w:p w14:paraId="6253DCD8" w14:textId="00076FF0" w:rsidR="004444AB" w:rsidRPr="00330A0C" w:rsidRDefault="00330A0C" w:rsidP="00D537A1">
            <w:pPr>
              <w:keepNext/>
              <w:keepLines/>
              <w:spacing w:before="0" w:after="0" w:line="240" w:lineRule="auto"/>
              <w:rPr>
                <w:rFonts w:eastAsia="Times New Roman" w:cs="Calibri Light"/>
                <w:i/>
                <w:sz w:val="20"/>
                <w:szCs w:val="20"/>
              </w:rPr>
            </w:pPr>
            <w:r w:rsidRPr="00330A0C">
              <w:rPr>
                <w:rFonts w:eastAsia="Times New Roman" w:cs="Calibri Light"/>
                <w:i/>
                <w:sz w:val="18"/>
                <w:szCs w:val="20"/>
              </w:rPr>
              <w:t>(calculated)</w:t>
            </w:r>
          </w:p>
        </w:tc>
      </w:tr>
      <w:tr w:rsidR="00330A0C" w:rsidRPr="002D723D" w14:paraId="3D67162C" w14:textId="77777777" w:rsidTr="00D13215">
        <w:trPr>
          <w:trHeight w:val="260"/>
        </w:trPr>
        <w:tc>
          <w:tcPr>
            <w:tcW w:w="2425" w:type="dxa"/>
            <w:shd w:val="clear" w:color="auto" w:fill="auto"/>
            <w:noWrap/>
            <w:vAlign w:val="center"/>
            <w:hideMark/>
          </w:tcPr>
          <w:p w14:paraId="575F0338" w14:textId="5A3C092D" w:rsidR="00330A0C" w:rsidRPr="002D723D" w:rsidRDefault="00330A0C" w:rsidP="00793074">
            <w:pPr>
              <w:spacing w:before="0" w:after="0" w:line="240" w:lineRule="auto"/>
              <w:rPr>
                <w:rFonts w:eastAsia="Times New Roman" w:cs="Calibri Light"/>
                <w:sz w:val="20"/>
                <w:szCs w:val="20"/>
              </w:rPr>
            </w:pPr>
            <w:r w:rsidRPr="002D723D">
              <w:rPr>
                <w:rFonts w:eastAsia="Times New Roman" w:cs="Calibri Light"/>
                <w:sz w:val="20"/>
                <w:szCs w:val="20"/>
              </w:rPr>
              <w:t xml:space="preserve">Flow Rate for </w:t>
            </w:r>
            <w:r>
              <w:rPr>
                <w:rFonts w:eastAsia="Times New Roman" w:cs="Calibri Light"/>
                <w:sz w:val="20"/>
                <w:szCs w:val="20"/>
              </w:rPr>
              <w:t>All</w:t>
            </w:r>
            <w:r w:rsidRPr="002D723D">
              <w:rPr>
                <w:rFonts w:eastAsia="Times New Roman" w:cs="Calibri Light"/>
                <w:sz w:val="20"/>
                <w:szCs w:val="20"/>
              </w:rPr>
              <w:t xml:space="preserve"> </w:t>
            </w:r>
            <w:r>
              <w:rPr>
                <w:rFonts w:eastAsia="Times New Roman" w:cs="Calibri Light"/>
                <w:sz w:val="20"/>
                <w:szCs w:val="20"/>
              </w:rPr>
              <w:t xml:space="preserve">Sink </w:t>
            </w:r>
            <w:r w:rsidRPr="002D723D">
              <w:rPr>
                <w:rFonts w:eastAsia="Times New Roman" w:cs="Calibri Light"/>
                <w:sz w:val="20"/>
                <w:szCs w:val="20"/>
              </w:rPr>
              <w:t>Faucets</w:t>
            </w:r>
          </w:p>
        </w:tc>
        <w:tc>
          <w:tcPr>
            <w:tcW w:w="990" w:type="dxa"/>
            <w:shd w:val="clear" w:color="auto" w:fill="auto"/>
            <w:noWrap/>
            <w:vAlign w:val="center"/>
            <w:hideMark/>
          </w:tcPr>
          <w:p w14:paraId="730B61D8" w14:textId="77777777" w:rsidR="00330A0C" w:rsidRPr="002D723D" w:rsidRDefault="00330A0C" w:rsidP="00793074">
            <w:pPr>
              <w:spacing w:before="0" w:after="0" w:line="240" w:lineRule="auto"/>
              <w:rPr>
                <w:rFonts w:eastAsia="Times New Roman" w:cs="Calibri Light"/>
                <w:sz w:val="20"/>
                <w:szCs w:val="20"/>
              </w:rPr>
            </w:pPr>
            <w:r>
              <w:rPr>
                <w:rFonts w:eastAsia="Times New Roman" w:cs="Calibri Light"/>
                <w:sz w:val="20"/>
                <w:szCs w:val="20"/>
              </w:rPr>
              <w:t>gpd</w:t>
            </w:r>
          </w:p>
        </w:tc>
        <w:tc>
          <w:tcPr>
            <w:tcW w:w="990" w:type="dxa"/>
            <w:shd w:val="clear" w:color="auto" w:fill="auto"/>
            <w:noWrap/>
            <w:vAlign w:val="center"/>
            <w:hideMark/>
          </w:tcPr>
          <w:p w14:paraId="16B587E5" w14:textId="36B612C2" w:rsidR="00330A0C" w:rsidRPr="00BC4F93" w:rsidRDefault="00330A0C" w:rsidP="00793074">
            <w:pPr>
              <w:spacing w:before="0" w:after="0" w:line="240" w:lineRule="auto"/>
              <w:jc w:val="right"/>
              <w:rPr>
                <w:rFonts w:eastAsia="Times New Roman" w:cs="Calibri Light"/>
                <w:sz w:val="20"/>
                <w:szCs w:val="20"/>
              </w:rPr>
            </w:pPr>
            <w:r w:rsidRPr="00BC4F93">
              <w:rPr>
                <w:rFonts w:eastAsia="Times New Roman" w:cs="Calibri Light"/>
                <w:sz w:val="20"/>
                <w:szCs w:val="20"/>
              </w:rPr>
              <w:t>13.</w:t>
            </w:r>
            <w:r w:rsidR="003B320D" w:rsidRPr="00BC4F93">
              <w:rPr>
                <w:rFonts w:eastAsia="Times New Roman" w:cs="Calibri Light"/>
                <w:sz w:val="20"/>
                <w:szCs w:val="20"/>
              </w:rPr>
              <w:t>4</w:t>
            </w:r>
            <w:r w:rsidR="00E93B25">
              <w:rPr>
                <w:rFonts w:eastAsia="Times New Roman" w:cs="Calibri Light"/>
                <w:sz w:val="20"/>
                <w:szCs w:val="20"/>
              </w:rPr>
              <w:t>0</w:t>
            </w:r>
          </w:p>
        </w:tc>
        <w:tc>
          <w:tcPr>
            <w:tcW w:w="990" w:type="dxa"/>
            <w:shd w:val="clear" w:color="auto" w:fill="auto"/>
            <w:noWrap/>
            <w:vAlign w:val="center"/>
            <w:hideMark/>
          </w:tcPr>
          <w:p w14:paraId="4D2B095F" w14:textId="2CF3CD99" w:rsidR="00330A0C" w:rsidRPr="00BC4F93" w:rsidRDefault="00330A0C" w:rsidP="00793074">
            <w:pPr>
              <w:spacing w:before="0" w:after="0" w:line="240" w:lineRule="auto"/>
              <w:jc w:val="right"/>
              <w:rPr>
                <w:rFonts w:eastAsia="Times New Roman" w:cs="Calibri Light"/>
                <w:sz w:val="20"/>
                <w:szCs w:val="20"/>
              </w:rPr>
            </w:pPr>
            <w:r w:rsidRPr="00BC4F93">
              <w:rPr>
                <w:rFonts w:eastAsia="Times New Roman" w:cs="Calibri Light"/>
                <w:sz w:val="20"/>
                <w:szCs w:val="20"/>
              </w:rPr>
              <w:t>11.</w:t>
            </w:r>
            <w:r w:rsidR="003B320D" w:rsidRPr="00BC4F93">
              <w:rPr>
                <w:rFonts w:eastAsia="Times New Roman" w:cs="Calibri Light"/>
                <w:sz w:val="20"/>
                <w:szCs w:val="20"/>
              </w:rPr>
              <w:t>04</w:t>
            </w:r>
          </w:p>
        </w:tc>
        <w:tc>
          <w:tcPr>
            <w:tcW w:w="4140" w:type="dxa"/>
            <w:vAlign w:val="center"/>
          </w:tcPr>
          <w:p w14:paraId="485C0732" w14:textId="3F17270A" w:rsidR="00330A0C" w:rsidRPr="00330A0C" w:rsidRDefault="00252C37" w:rsidP="00793074">
            <w:pPr>
              <w:spacing w:before="0" w:after="0" w:line="240" w:lineRule="auto"/>
              <w:rPr>
                <w:sz w:val="18"/>
                <w:szCs w:val="18"/>
              </w:rPr>
            </w:pPr>
            <w:r w:rsidRPr="00252C37">
              <w:rPr>
                <w:sz w:val="18"/>
              </w:rPr>
              <w:t>Sempra Energy Utilities (SEU). 2012. “</w:t>
            </w:r>
            <w:r w:rsidR="006523C7">
              <w:rPr>
                <w:sz w:val="18"/>
              </w:rPr>
              <w:t>SEU</w:t>
            </w:r>
            <w:r w:rsidRPr="00252C37">
              <w:rPr>
                <w:sz w:val="18"/>
              </w:rPr>
              <w:t xml:space="preserve"> 2009 ASW Data REDACTED.xlsx”.</w:t>
            </w:r>
          </w:p>
          <w:p w14:paraId="0D8CEB66" w14:textId="77777777" w:rsidR="00330A0C" w:rsidRDefault="00330A0C" w:rsidP="00793074">
            <w:pPr>
              <w:spacing w:before="0" w:after="0" w:line="240" w:lineRule="auto"/>
              <w:rPr>
                <w:rStyle w:val="eTRMFootnoteTextChar"/>
                <w:szCs w:val="18"/>
              </w:rPr>
            </w:pPr>
          </w:p>
          <w:p w14:paraId="19E33B4F" w14:textId="722F608C" w:rsidR="00330A0C" w:rsidRPr="00BF1799" w:rsidRDefault="00330A0C" w:rsidP="00793074">
            <w:pPr>
              <w:spacing w:before="0" w:after="0" w:line="240" w:lineRule="auto"/>
              <w:rPr>
                <w:rFonts w:eastAsia="Times New Roman" w:cs="Calibri Light"/>
                <w:sz w:val="18"/>
                <w:szCs w:val="18"/>
              </w:rPr>
            </w:pPr>
            <w:proofErr w:type="spellStart"/>
            <w:r w:rsidRPr="00330A0C">
              <w:rPr>
                <w:rStyle w:val="eTRMFootnoteTextChar"/>
                <w:szCs w:val="18"/>
              </w:rPr>
              <w:t>Hendron</w:t>
            </w:r>
            <w:proofErr w:type="spellEnd"/>
            <w:r w:rsidRPr="00330A0C">
              <w:rPr>
                <w:rStyle w:val="eTRMFootnoteTextChar"/>
                <w:szCs w:val="18"/>
              </w:rPr>
              <w:t xml:space="preserve">, R. and C. </w:t>
            </w:r>
            <w:proofErr w:type="spellStart"/>
            <w:r w:rsidRPr="00330A0C">
              <w:rPr>
                <w:rStyle w:val="eTRMFootnoteTextChar"/>
                <w:szCs w:val="18"/>
              </w:rPr>
              <w:t>Engebrecht</w:t>
            </w:r>
            <w:proofErr w:type="spellEnd"/>
            <w:r w:rsidRPr="00330A0C">
              <w:rPr>
                <w:rStyle w:val="eTRMFootnoteTextChar"/>
                <w:szCs w:val="18"/>
              </w:rPr>
              <w:t xml:space="preserve">. 2010. </w:t>
            </w:r>
            <w:r w:rsidRPr="00330A0C">
              <w:rPr>
                <w:rStyle w:val="eTRMFootnoteTextChar"/>
                <w:i/>
                <w:szCs w:val="18"/>
              </w:rPr>
              <w:t>Building America Research Benchmark Definition: Updated December 2009.</w:t>
            </w:r>
            <w:r w:rsidRPr="00330A0C">
              <w:rPr>
                <w:rStyle w:val="eTRMFootnoteTextChar"/>
                <w:szCs w:val="18"/>
              </w:rPr>
              <w:t xml:space="preserve"> National Renewable Energy Laboratory.  NREL/TP-550-47246.</w:t>
            </w:r>
          </w:p>
        </w:tc>
      </w:tr>
      <w:tr w:rsidR="004444AB" w:rsidRPr="002D723D" w14:paraId="0FA97DE5" w14:textId="77777777" w:rsidTr="00D13215">
        <w:trPr>
          <w:trHeight w:val="260"/>
        </w:trPr>
        <w:tc>
          <w:tcPr>
            <w:tcW w:w="9535" w:type="dxa"/>
            <w:gridSpan w:val="5"/>
            <w:shd w:val="clear" w:color="auto" w:fill="F2F2F2" w:themeFill="background1" w:themeFillShade="F2"/>
            <w:noWrap/>
            <w:vAlign w:val="bottom"/>
          </w:tcPr>
          <w:p w14:paraId="36CA72F9" w14:textId="1DA3BE23" w:rsidR="004444AB" w:rsidRDefault="0050308E" w:rsidP="007D5AD5">
            <w:pPr>
              <w:keepNext/>
              <w:keepLines/>
              <w:spacing w:before="0" w:after="0" w:line="240" w:lineRule="auto"/>
              <w:jc w:val="center"/>
              <w:rPr>
                <w:rFonts w:eastAsia="Times New Roman" w:cs="Calibri Light"/>
                <w:b/>
                <w:sz w:val="20"/>
                <w:szCs w:val="20"/>
              </w:rPr>
            </w:pPr>
            <w:r>
              <w:rPr>
                <w:rFonts w:eastAsia="Times New Roman" w:cs="Calibri Light"/>
                <w:b/>
                <w:sz w:val="20"/>
                <w:szCs w:val="20"/>
              </w:rPr>
              <w:lastRenderedPageBreak/>
              <w:br/>
            </w:r>
            <w:r w:rsidR="004444AB">
              <w:rPr>
                <w:rFonts w:eastAsia="Times New Roman" w:cs="Calibri Light"/>
                <w:b/>
                <w:sz w:val="20"/>
                <w:szCs w:val="20"/>
              </w:rPr>
              <w:t>Multifamily</w:t>
            </w:r>
            <w:r w:rsidR="00D03583">
              <w:rPr>
                <w:rFonts w:eastAsia="Times New Roman" w:cs="Calibri Light"/>
                <w:b/>
                <w:sz w:val="20"/>
                <w:szCs w:val="20"/>
              </w:rPr>
              <w:t xml:space="preserve"> / Mobile Home</w:t>
            </w:r>
          </w:p>
        </w:tc>
      </w:tr>
      <w:tr w:rsidR="004444AB" w:rsidRPr="002D723D" w14:paraId="5CB875E4" w14:textId="77777777" w:rsidTr="00D13215">
        <w:trPr>
          <w:trHeight w:val="260"/>
        </w:trPr>
        <w:tc>
          <w:tcPr>
            <w:tcW w:w="2425" w:type="dxa"/>
            <w:shd w:val="clear" w:color="auto" w:fill="F2F2F2" w:themeFill="background1" w:themeFillShade="F2"/>
            <w:noWrap/>
            <w:vAlign w:val="bottom"/>
          </w:tcPr>
          <w:p w14:paraId="744F7FF2" w14:textId="77777777" w:rsidR="004444AB" w:rsidRPr="002D723D" w:rsidRDefault="004444AB" w:rsidP="007D5AD5">
            <w:pPr>
              <w:keepNext/>
              <w:keepLines/>
              <w:spacing w:before="0" w:after="0" w:line="240" w:lineRule="auto"/>
              <w:rPr>
                <w:rFonts w:eastAsia="Times New Roman" w:cs="Calibri Light"/>
                <w:b/>
                <w:sz w:val="20"/>
                <w:szCs w:val="20"/>
              </w:rPr>
            </w:pPr>
            <w:bookmarkStart w:id="74" w:name="_Hlk511643318"/>
            <w:r>
              <w:rPr>
                <w:rFonts w:eastAsia="Times New Roman" w:cs="Calibri Light"/>
                <w:b/>
                <w:sz w:val="20"/>
                <w:szCs w:val="20"/>
              </w:rPr>
              <w:t>Parameter</w:t>
            </w:r>
          </w:p>
        </w:tc>
        <w:tc>
          <w:tcPr>
            <w:tcW w:w="990" w:type="dxa"/>
            <w:shd w:val="clear" w:color="auto" w:fill="F2F2F2" w:themeFill="background1" w:themeFillShade="F2"/>
            <w:noWrap/>
            <w:vAlign w:val="bottom"/>
          </w:tcPr>
          <w:p w14:paraId="28EC6B3D" w14:textId="77777777" w:rsidR="004444AB" w:rsidRPr="002D723D" w:rsidRDefault="004444AB" w:rsidP="00D50CE5">
            <w:pPr>
              <w:keepNext/>
              <w:keepLines/>
              <w:spacing w:before="0" w:after="0" w:line="240" w:lineRule="auto"/>
              <w:rPr>
                <w:rFonts w:eastAsia="Times New Roman" w:cs="Calibri Light"/>
                <w:b/>
                <w:sz w:val="20"/>
                <w:szCs w:val="20"/>
              </w:rPr>
            </w:pPr>
            <w:r>
              <w:rPr>
                <w:rFonts w:eastAsia="Times New Roman" w:cs="Calibri Light"/>
                <w:b/>
                <w:sz w:val="20"/>
                <w:szCs w:val="20"/>
              </w:rPr>
              <w:t>Units</w:t>
            </w:r>
          </w:p>
        </w:tc>
        <w:tc>
          <w:tcPr>
            <w:tcW w:w="990" w:type="dxa"/>
            <w:shd w:val="clear" w:color="auto" w:fill="F2F2F2" w:themeFill="background1" w:themeFillShade="F2"/>
            <w:noWrap/>
            <w:vAlign w:val="bottom"/>
          </w:tcPr>
          <w:p w14:paraId="10DAD49C" w14:textId="77777777" w:rsidR="004444AB" w:rsidRPr="002D723D" w:rsidRDefault="004444AB" w:rsidP="00D50CE5">
            <w:pPr>
              <w:keepNext/>
              <w:keepLines/>
              <w:spacing w:before="0" w:after="0" w:line="240" w:lineRule="auto"/>
              <w:jc w:val="center"/>
              <w:rPr>
                <w:rFonts w:eastAsia="Times New Roman" w:cs="Calibri Light"/>
                <w:b/>
                <w:sz w:val="20"/>
                <w:szCs w:val="20"/>
              </w:rPr>
            </w:pPr>
            <w:r>
              <w:rPr>
                <w:rFonts w:eastAsia="Times New Roman" w:cs="Calibri Light"/>
                <w:b/>
                <w:sz w:val="20"/>
                <w:szCs w:val="20"/>
              </w:rPr>
              <w:t>Kitchen</w:t>
            </w:r>
          </w:p>
        </w:tc>
        <w:tc>
          <w:tcPr>
            <w:tcW w:w="990" w:type="dxa"/>
            <w:shd w:val="clear" w:color="auto" w:fill="F2F2F2" w:themeFill="background1" w:themeFillShade="F2"/>
            <w:noWrap/>
            <w:vAlign w:val="bottom"/>
          </w:tcPr>
          <w:p w14:paraId="361B2928" w14:textId="77777777" w:rsidR="004444AB" w:rsidRPr="002D723D" w:rsidRDefault="004444AB" w:rsidP="00D50CE5">
            <w:pPr>
              <w:keepNext/>
              <w:keepLines/>
              <w:spacing w:before="0" w:after="0" w:line="240" w:lineRule="auto"/>
              <w:jc w:val="center"/>
              <w:rPr>
                <w:rFonts w:eastAsia="Times New Roman" w:cs="Calibri Light"/>
                <w:b/>
                <w:sz w:val="20"/>
                <w:szCs w:val="20"/>
              </w:rPr>
            </w:pPr>
            <w:r>
              <w:rPr>
                <w:rFonts w:eastAsia="Times New Roman" w:cs="Calibri Light"/>
                <w:b/>
                <w:sz w:val="20"/>
                <w:szCs w:val="20"/>
              </w:rPr>
              <w:t>Lavatory</w:t>
            </w:r>
          </w:p>
        </w:tc>
        <w:tc>
          <w:tcPr>
            <w:tcW w:w="4140" w:type="dxa"/>
            <w:shd w:val="clear" w:color="auto" w:fill="F2F2F2" w:themeFill="background1" w:themeFillShade="F2"/>
          </w:tcPr>
          <w:p w14:paraId="4B06BE1F" w14:textId="77777777" w:rsidR="004444AB" w:rsidRPr="002D723D" w:rsidRDefault="004444AB" w:rsidP="00D50CE5">
            <w:pPr>
              <w:keepNext/>
              <w:keepLines/>
              <w:spacing w:before="0" w:after="0" w:line="240" w:lineRule="auto"/>
              <w:rPr>
                <w:rFonts w:eastAsia="Times New Roman" w:cs="Calibri Light"/>
                <w:b/>
                <w:sz w:val="20"/>
                <w:szCs w:val="20"/>
              </w:rPr>
            </w:pPr>
            <w:r>
              <w:rPr>
                <w:rFonts w:eastAsia="Times New Roman" w:cs="Calibri Light"/>
                <w:b/>
                <w:sz w:val="20"/>
                <w:szCs w:val="20"/>
              </w:rPr>
              <w:t>Source</w:t>
            </w:r>
          </w:p>
        </w:tc>
      </w:tr>
      <w:tr w:rsidR="0050308E" w:rsidRPr="002D723D" w14:paraId="6B0AC881" w14:textId="77777777" w:rsidTr="00D13215">
        <w:trPr>
          <w:trHeight w:val="260"/>
        </w:trPr>
        <w:tc>
          <w:tcPr>
            <w:tcW w:w="2425" w:type="dxa"/>
            <w:shd w:val="clear" w:color="auto" w:fill="auto"/>
            <w:noWrap/>
            <w:vAlign w:val="center"/>
            <w:hideMark/>
          </w:tcPr>
          <w:p w14:paraId="2B8F825F" w14:textId="77777777" w:rsidR="0050308E" w:rsidRPr="002D723D" w:rsidRDefault="0050308E" w:rsidP="007D5AD5">
            <w:pPr>
              <w:keepNext/>
              <w:keepLines/>
              <w:spacing w:before="0" w:after="0" w:line="240" w:lineRule="auto"/>
              <w:rPr>
                <w:rFonts w:eastAsia="Times New Roman" w:cs="Calibri Light"/>
                <w:sz w:val="20"/>
                <w:szCs w:val="20"/>
              </w:rPr>
            </w:pPr>
            <w:r w:rsidRPr="002D723D">
              <w:rPr>
                <w:rFonts w:eastAsia="Times New Roman" w:cs="Calibri Light"/>
                <w:sz w:val="20"/>
                <w:szCs w:val="20"/>
              </w:rPr>
              <w:t>Base Case Flow Rate</w:t>
            </w:r>
          </w:p>
        </w:tc>
        <w:tc>
          <w:tcPr>
            <w:tcW w:w="990" w:type="dxa"/>
            <w:shd w:val="clear" w:color="auto" w:fill="auto"/>
            <w:noWrap/>
            <w:vAlign w:val="center"/>
            <w:hideMark/>
          </w:tcPr>
          <w:p w14:paraId="3B89487C" w14:textId="77777777" w:rsidR="0050308E" w:rsidRPr="002D723D" w:rsidRDefault="0050308E" w:rsidP="00D50CE5">
            <w:pPr>
              <w:keepNext/>
              <w:keepLines/>
              <w:spacing w:before="0" w:after="0" w:line="240" w:lineRule="auto"/>
              <w:rPr>
                <w:rFonts w:eastAsia="Times New Roman" w:cs="Calibri Light"/>
                <w:sz w:val="20"/>
                <w:szCs w:val="20"/>
              </w:rPr>
            </w:pPr>
            <w:proofErr w:type="spellStart"/>
            <w:r w:rsidRPr="002D723D">
              <w:rPr>
                <w:rFonts w:eastAsia="Times New Roman" w:cs="Calibri Light"/>
                <w:sz w:val="20"/>
                <w:szCs w:val="20"/>
              </w:rPr>
              <w:t>gpm</w:t>
            </w:r>
            <w:proofErr w:type="spellEnd"/>
          </w:p>
        </w:tc>
        <w:tc>
          <w:tcPr>
            <w:tcW w:w="990" w:type="dxa"/>
            <w:shd w:val="clear" w:color="auto" w:fill="auto"/>
            <w:noWrap/>
            <w:vAlign w:val="center"/>
            <w:hideMark/>
          </w:tcPr>
          <w:p w14:paraId="1CAE8BF3" w14:textId="77777777" w:rsidR="0050308E" w:rsidRPr="00BC4F93" w:rsidRDefault="0050308E" w:rsidP="00D50CE5">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2.2</w:t>
            </w:r>
          </w:p>
        </w:tc>
        <w:tc>
          <w:tcPr>
            <w:tcW w:w="990" w:type="dxa"/>
            <w:shd w:val="clear" w:color="auto" w:fill="auto"/>
            <w:noWrap/>
            <w:vAlign w:val="center"/>
            <w:hideMark/>
          </w:tcPr>
          <w:p w14:paraId="6F3BA704" w14:textId="77777777" w:rsidR="0050308E" w:rsidRPr="00BC4F93" w:rsidRDefault="0050308E" w:rsidP="00D50CE5">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2.2</w:t>
            </w:r>
          </w:p>
        </w:tc>
        <w:tc>
          <w:tcPr>
            <w:tcW w:w="4140" w:type="dxa"/>
            <w:vAlign w:val="center"/>
          </w:tcPr>
          <w:p w14:paraId="5E833811" w14:textId="70AFD365" w:rsidR="0050308E" w:rsidRPr="002D723D" w:rsidRDefault="00E35947" w:rsidP="00D50CE5">
            <w:pPr>
              <w:keepNext/>
              <w:keepLines/>
              <w:spacing w:before="0" w:after="0" w:line="240" w:lineRule="auto"/>
              <w:rPr>
                <w:rFonts w:eastAsia="Times New Roman" w:cs="Calibri Light"/>
                <w:sz w:val="20"/>
                <w:szCs w:val="20"/>
              </w:rPr>
            </w:pPr>
            <w:r w:rsidRPr="00252C37">
              <w:rPr>
                <w:sz w:val="18"/>
              </w:rPr>
              <w:t>Sempra Energy Utilities (SEU). 2012. “</w:t>
            </w:r>
            <w:r>
              <w:rPr>
                <w:sz w:val="18"/>
              </w:rPr>
              <w:t>SEU</w:t>
            </w:r>
            <w:r w:rsidRPr="00252C37">
              <w:rPr>
                <w:sz w:val="18"/>
              </w:rPr>
              <w:t xml:space="preserve"> 2009 ASW Data REDACTED.xlsx”.</w:t>
            </w:r>
          </w:p>
        </w:tc>
      </w:tr>
      <w:tr w:rsidR="00330A0C" w:rsidRPr="002D723D" w14:paraId="7B814EB9" w14:textId="77777777" w:rsidTr="00D13215">
        <w:trPr>
          <w:trHeight w:val="260"/>
        </w:trPr>
        <w:tc>
          <w:tcPr>
            <w:tcW w:w="2425" w:type="dxa"/>
            <w:shd w:val="clear" w:color="auto" w:fill="auto"/>
            <w:noWrap/>
            <w:vAlign w:val="center"/>
            <w:hideMark/>
          </w:tcPr>
          <w:p w14:paraId="17BADF06" w14:textId="5B188292" w:rsidR="00330A0C" w:rsidRPr="002D723D" w:rsidRDefault="00330A0C" w:rsidP="007D5AD5">
            <w:pPr>
              <w:keepNext/>
              <w:keepLines/>
              <w:spacing w:before="0" w:after="0" w:line="240" w:lineRule="auto"/>
              <w:rPr>
                <w:rFonts w:eastAsia="Times New Roman" w:cs="Calibri Light"/>
                <w:sz w:val="20"/>
                <w:szCs w:val="20"/>
              </w:rPr>
            </w:pPr>
            <w:r w:rsidRPr="002D723D">
              <w:rPr>
                <w:rFonts w:eastAsia="Times New Roman" w:cs="Calibri Light"/>
                <w:sz w:val="20"/>
                <w:szCs w:val="20"/>
              </w:rPr>
              <w:t xml:space="preserve">Average </w:t>
            </w:r>
            <w:r>
              <w:rPr>
                <w:rFonts w:eastAsia="Times New Roman" w:cs="Calibri Light"/>
                <w:sz w:val="20"/>
                <w:szCs w:val="20"/>
              </w:rPr>
              <w:t xml:space="preserve">Faucet Use </w:t>
            </w:r>
            <w:r w:rsidR="00EA76AD">
              <w:rPr>
                <w:rFonts w:eastAsia="Times New Roman" w:cs="Calibri Light"/>
                <w:sz w:val="20"/>
                <w:szCs w:val="20"/>
              </w:rPr>
              <w:t>Time</w:t>
            </w:r>
          </w:p>
        </w:tc>
        <w:tc>
          <w:tcPr>
            <w:tcW w:w="990" w:type="dxa"/>
            <w:shd w:val="clear" w:color="auto" w:fill="auto"/>
            <w:noWrap/>
            <w:vAlign w:val="center"/>
            <w:hideMark/>
          </w:tcPr>
          <w:p w14:paraId="770A9ADB" w14:textId="77777777" w:rsidR="00330A0C" w:rsidRPr="002D723D" w:rsidRDefault="00330A0C" w:rsidP="00D50CE5">
            <w:pPr>
              <w:keepNext/>
              <w:keepLines/>
              <w:spacing w:before="0" w:after="0" w:line="240" w:lineRule="auto"/>
              <w:rPr>
                <w:rFonts w:eastAsia="Times New Roman" w:cs="Calibri Light"/>
                <w:sz w:val="20"/>
                <w:szCs w:val="20"/>
              </w:rPr>
            </w:pPr>
            <w:r w:rsidRPr="002D723D">
              <w:rPr>
                <w:rFonts w:eastAsia="Times New Roman" w:cs="Calibri Light"/>
                <w:sz w:val="20"/>
                <w:szCs w:val="20"/>
              </w:rPr>
              <w:t>min/day</w:t>
            </w:r>
          </w:p>
        </w:tc>
        <w:tc>
          <w:tcPr>
            <w:tcW w:w="990" w:type="dxa"/>
            <w:shd w:val="clear" w:color="auto" w:fill="auto"/>
            <w:noWrap/>
            <w:vAlign w:val="center"/>
            <w:hideMark/>
          </w:tcPr>
          <w:p w14:paraId="6CE3ADCE" w14:textId="202329CC" w:rsidR="00330A0C" w:rsidRPr="00BC4F93" w:rsidRDefault="00330A0C" w:rsidP="00D50CE5">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5.</w:t>
            </w:r>
            <w:r w:rsidR="00604417" w:rsidRPr="00BC4F93">
              <w:rPr>
                <w:rFonts w:eastAsia="Times New Roman" w:cs="Calibri Light"/>
                <w:sz w:val="20"/>
                <w:szCs w:val="20"/>
              </w:rPr>
              <w:t xml:space="preserve">07 </w:t>
            </w:r>
          </w:p>
        </w:tc>
        <w:tc>
          <w:tcPr>
            <w:tcW w:w="990" w:type="dxa"/>
            <w:shd w:val="clear" w:color="auto" w:fill="auto"/>
            <w:noWrap/>
            <w:vAlign w:val="center"/>
            <w:hideMark/>
          </w:tcPr>
          <w:p w14:paraId="758FA78D" w14:textId="000727F8" w:rsidR="00330A0C" w:rsidRPr="00BC4F93" w:rsidRDefault="00330A0C" w:rsidP="00D50CE5">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4.</w:t>
            </w:r>
            <w:r w:rsidR="00604417" w:rsidRPr="00BC4F93">
              <w:rPr>
                <w:rFonts w:eastAsia="Times New Roman" w:cs="Calibri Light"/>
                <w:sz w:val="20"/>
                <w:szCs w:val="20"/>
              </w:rPr>
              <w:t xml:space="preserve">18 </w:t>
            </w:r>
          </w:p>
        </w:tc>
        <w:tc>
          <w:tcPr>
            <w:tcW w:w="4140" w:type="dxa"/>
            <w:vAlign w:val="center"/>
          </w:tcPr>
          <w:p w14:paraId="231BC5D5" w14:textId="491B0B4F" w:rsidR="00330A0C" w:rsidRPr="002D723D" w:rsidRDefault="00330A0C" w:rsidP="00D50CE5">
            <w:pPr>
              <w:keepNext/>
              <w:keepLines/>
              <w:spacing w:before="0" w:after="0" w:line="240" w:lineRule="auto"/>
              <w:rPr>
                <w:rFonts w:eastAsia="Times New Roman" w:cs="Calibri Light"/>
                <w:sz w:val="20"/>
                <w:szCs w:val="20"/>
              </w:rPr>
            </w:pPr>
            <w:r w:rsidRPr="00330A0C">
              <w:rPr>
                <w:rFonts w:eastAsia="Times New Roman" w:cs="Calibri Light"/>
                <w:i/>
                <w:sz w:val="18"/>
                <w:szCs w:val="20"/>
              </w:rPr>
              <w:t>(calculated)</w:t>
            </w:r>
          </w:p>
        </w:tc>
      </w:tr>
      <w:tr w:rsidR="0050308E" w:rsidRPr="002D723D" w14:paraId="5E19FBE1" w14:textId="77777777" w:rsidTr="00D13215">
        <w:trPr>
          <w:trHeight w:val="260"/>
        </w:trPr>
        <w:tc>
          <w:tcPr>
            <w:tcW w:w="2425" w:type="dxa"/>
            <w:shd w:val="clear" w:color="auto" w:fill="auto"/>
            <w:noWrap/>
            <w:vAlign w:val="center"/>
            <w:hideMark/>
          </w:tcPr>
          <w:p w14:paraId="4F41FA60" w14:textId="75668C2A" w:rsidR="0050308E" w:rsidRPr="002D723D" w:rsidRDefault="0050308E" w:rsidP="00D50CE5">
            <w:pPr>
              <w:keepNext/>
              <w:keepLines/>
              <w:spacing w:before="0" w:after="0" w:line="240" w:lineRule="auto"/>
              <w:rPr>
                <w:rFonts w:eastAsia="Times New Roman" w:cs="Calibri Light"/>
                <w:sz w:val="20"/>
                <w:szCs w:val="20"/>
              </w:rPr>
            </w:pPr>
            <w:r w:rsidRPr="002D723D">
              <w:rPr>
                <w:rFonts w:eastAsia="Times New Roman" w:cs="Calibri Light"/>
                <w:sz w:val="20"/>
                <w:szCs w:val="20"/>
              </w:rPr>
              <w:t xml:space="preserve">Flow Rate for </w:t>
            </w:r>
            <w:r>
              <w:rPr>
                <w:rFonts w:eastAsia="Times New Roman" w:cs="Calibri Light"/>
                <w:sz w:val="20"/>
                <w:szCs w:val="20"/>
              </w:rPr>
              <w:t>All</w:t>
            </w:r>
            <w:r w:rsidRPr="002D723D">
              <w:rPr>
                <w:rFonts w:eastAsia="Times New Roman" w:cs="Calibri Light"/>
                <w:sz w:val="20"/>
                <w:szCs w:val="20"/>
              </w:rPr>
              <w:t xml:space="preserve"> </w:t>
            </w:r>
            <w:r w:rsidR="002D73E8">
              <w:rPr>
                <w:rFonts w:eastAsia="Times New Roman" w:cs="Calibri Light"/>
                <w:sz w:val="20"/>
                <w:szCs w:val="20"/>
              </w:rPr>
              <w:t xml:space="preserve">Sink </w:t>
            </w:r>
            <w:r w:rsidRPr="002D723D">
              <w:rPr>
                <w:rFonts w:eastAsia="Times New Roman" w:cs="Calibri Light"/>
                <w:sz w:val="20"/>
                <w:szCs w:val="20"/>
              </w:rPr>
              <w:t>Faucets</w:t>
            </w:r>
          </w:p>
        </w:tc>
        <w:tc>
          <w:tcPr>
            <w:tcW w:w="990" w:type="dxa"/>
            <w:shd w:val="clear" w:color="auto" w:fill="auto"/>
            <w:noWrap/>
            <w:vAlign w:val="center"/>
            <w:hideMark/>
          </w:tcPr>
          <w:p w14:paraId="312F0CB1" w14:textId="77777777" w:rsidR="0050308E" w:rsidRPr="002D723D" w:rsidRDefault="0050308E" w:rsidP="00D50CE5">
            <w:pPr>
              <w:keepNext/>
              <w:keepLines/>
              <w:spacing w:before="0" w:after="0" w:line="240" w:lineRule="auto"/>
              <w:rPr>
                <w:rFonts w:eastAsia="Times New Roman" w:cs="Calibri Light"/>
                <w:sz w:val="20"/>
                <w:szCs w:val="20"/>
              </w:rPr>
            </w:pPr>
            <w:r>
              <w:rPr>
                <w:rFonts w:eastAsia="Times New Roman" w:cs="Calibri Light"/>
                <w:sz w:val="20"/>
                <w:szCs w:val="20"/>
              </w:rPr>
              <w:t>gpd</w:t>
            </w:r>
          </w:p>
        </w:tc>
        <w:tc>
          <w:tcPr>
            <w:tcW w:w="990" w:type="dxa"/>
            <w:shd w:val="clear" w:color="auto" w:fill="auto"/>
            <w:noWrap/>
            <w:vAlign w:val="center"/>
            <w:hideMark/>
          </w:tcPr>
          <w:p w14:paraId="7506B7A4" w14:textId="01FA7F50" w:rsidR="0050308E" w:rsidRPr="00BC4F93" w:rsidRDefault="0050308E" w:rsidP="00D50CE5">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11.</w:t>
            </w:r>
            <w:r w:rsidR="00604417" w:rsidRPr="00BC4F93">
              <w:rPr>
                <w:rFonts w:eastAsia="Times New Roman" w:cs="Calibri Light"/>
                <w:sz w:val="20"/>
                <w:szCs w:val="20"/>
              </w:rPr>
              <w:t>2</w:t>
            </w:r>
            <w:r w:rsidR="00E93B25">
              <w:rPr>
                <w:rFonts w:eastAsia="Times New Roman" w:cs="Calibri Light"/>
                <w:sz w:val="20"/>
                <w:szCs w:val="20"/>
              </w:rPr>
              <w:t>0</w:t>
            </w:r>
          </w:p>
        </w:tc>
        <w:tc>
          <w:tcPr>
            <w:tcW w:w="990" w:type="dxa"/>
            <w:shd w:val="clear" w:color="auto" w:fill="auto"/>
            <w:noWrap/>
            <w:vAlign w:val="center"/>
            <w:hideMark/>
          </w:tcPr>
          <w:p w14:paraId="1DC00A83" w14:textId="01F2C395" w:rsidR="0050308E" w:rsidRPr="00BC4F93" w:rsidRDefault="0050308E" w:rsidP="00D50CE5">
            <w:pPr>
              <w:keepNext/>
              <w:keepLines/>
              <w:spacing w:before="0" w:after="0" w:line="240" w:lineRule="auto"/>
              <w:jc w:val="right"/>
              <w:rPr>
                <w:rFonts w:eastAsia="Times New Roman" w:cs="Calibri Light"/>
                <w:sz w:val="20"/>
                <w:szCs w:val="20"/>
              </w:rPr>
            </w:pPr>
            <w:r w:rsidRPr="00BC4F93">
              <w:rPr>
                <w:rFonts w:eastAsia="Times New Roman" w:cs="Calibri Light"/>
                <w:sz w:val="20"/>
                <w:szCs w:val="20"/>
              </w:rPr>
              <w:t>9.</w:t>
            </w:r>
            <w:r w:rsidR="00604417" w:rsidRPr="00BC4F93">
              <w:rPr>
                <w:rFonts w:eastAsia="Times New Roman" w:cs="Calibri Light"/>
                <w:sz w:val="20"/>
                <w:szCs w:val="20"/>
              </w:rPr>
              <w:t>2</w:t>
            </w:r>
            <w:r w:rsidR="00E93B25">
              <w:rPr>
                <w:rFonts w:eastAsia="Times New Roman" w:cs="Calibri Light"/>
                <w:sz w:val="20"/>
                <w:szCs w:val="20"/>
              </w:rPr>
              <w:t>0</w:t>
            </w:r>
          </w:p>
        </w:tc>
        <w:tc>
          <w:tcPr>
            <w:tcW w:w="4140" w:type="dxa"/>
            <w:vAlign w:val="center"/>
          </w:tcPr>
          <w:p w14:paraId="0770029F" w14:textId="7BF09818" w:rsidR="0050308E" w:rsidRPr="00330A0C" w:rsidRDefault="00252C37" w:rsidP="00D50CE5">
            <w:pPr>
              <w:keepNext/>
              <w:keepLines/>
              <w:spacing w:before="0" w:after="0" w:line="240" w:lineRule="auto"/>
              <w:rPr>
                <w:sz w:val="18"/>
                <w:szCs w:val="18"/>
              </w:rPr>
            </w:pPr>
            <w:r w:rsidRPr="00252C37">
              <w:rPr>
                <w:sz w:val="18"/>
              </w:rPr>
              <w:t>Sempra Energy Utilities (SEU). 2012. “</w:t>
            </w:r>
            <w:r w:rsidR="006523C7">
              <w:rPr>
                <w:sz w:val="18"/>
              </w:rPr>
              <w:t>SEU</w:t>
            </w:r>
            <w:r w:rsidRPr="00252C37">
              <w:rPr>
                <w:sz w:val="18"/>
              </w:rPr>
              <w:t xml:space="preserve"> 2009 ASW Data REDACTED.xlsx”.</w:t>
            </w:r>
          </w:p>
          <w:p w14:paraId="3DBD42B2" w14:textId="77777777" w:rsidR="00330A0C" w:rsidRDefault="00330A0C" w:rsidP="00D50CE5">
            <w:pPr>
              <w:keepNext/>
              <w:keepLines/>
              <w:spacing w:before="0" w:after="0" w:line="240" w:lineRule="auto"/>
              <w:rPr>
                <w:rStyle w:val="eTRMFootnoteTextChar"/>
                <w:szCs w:val="18"/>
              </w:rPr>
            </w:pPr>
          </w:p>
          <w:p w14:paraId="6B6007D9" w14:textId="67A4F0F8" w:rsidR="0050308E" w:rsidRPr="00330A0C" w:rsidRDefault="0050308E" w:rsidP="00D50CE5">
            <w:pPr>
              <w:keepNext/>
              <w:keepLines/>
              <w:spacing w:before="0" w:after="0" w:line="240" w:lineRule="auto"/>
              <w:rPr>
                <w:rFonts w:eastAsia="Times New Roman" w:cs="Calibri Light"/>
                <w:sz w:val="20"/>
                <w:szCs w:val="20"/>
              </w:rPr>
            </w:pPr>
            <w:proofErr w:type="spellStart"/>
            <w:r w:rsidRPr="00330A0C">
              <w:rPr>
                <w:rStyle w:val="eTRMFootnoteTextChar"/>
                <w:szCs w:val="18"/>
              </w:rPr>
              <w:t>Hendron</w:t>
            </w:r>
            <w:proofErr w:type="spellEnd"/>
            <w:r w:rsidRPr="00330A0C">
              <w:rPr>
                <w:rStyle w:val="eTRMFootnoteTextChar"/>
                <w:szCs w:val="18"/>
              </w:rPr>
              <w:t xml:space="preserve">, R. and C. </w:t>
            </w:r>
            <w:proofErr w:type="spellStart"/>
            <w:r w:rsidRPr="00330A0C">
              <w:rPr>
                <w:rStyle w:val="eTRMFootnoteTextChar"/>
                <w:szCs w:val="18"/>
              </w:rPr>
              <w:t>Engebrecht</w:t>
            </w:r>
            <w:proofErr w:type="spellEnd"/>
            <w:r w:rsidRPr="00330A0C">
              <w:rPr>
                <w:rStyle w:val="eTRMFootnoteTextChar"/>
                <w:szCs w:val="18"/>
              </w:rPr>
              <w:t xml:space="preserve">. 2010. </w:t>
            </w:r>
            <w:r w:rsidRPr="00330A0C">
              <w:rPr>
                <w:rStyle w:val="eTRMFootnoteTextChar"/>
                <w:i/>
                <w:szCs w:val="18"/>
              </w:rPr>
              <w:t>Building America Research Benchmark Definition</w:t>
            </w:r>
            <w:r w:rsidR="0000492A" w:rsidRPr="00330A0C">
              <w:rPr>
                <w:rStyle w:val="eTRMFootnoteTextChar"/>
                <w:i/>
                <w:szCs w:val="18"/>
              </w:rPr>
              <w:t>: Updated December 2009</w:t>
            </w:r>
            <w:r w:rsidRPr="00330A0C">
              <w:rPr>
                <w:rStyle w:val="eTRMFootnoteTextChar"/>
                <w:i/>
                <w:szCs w:val="18"/>
              </w:rPr>
              <w:t>.</w:t>
            </w:r>
            <w:r w:rsidRPr="00330A0C">
              <w:rPr>
                <w:rStyle w:val="eTRMFootnoteTextChar"/>
                <w:szCs w:val="18"/>
              </w:rPr>
              <w:t xml:space="preserve"> National Renewable Energy Laboratory.  NREL/TP-550-47246.</w:t>
            </w:r>
          </w:p>
        </w:tc>
      </w:tr>
    </w:tbl>
    <w:bookmarkEnd w:id="74"/>
    <w:p w14:paraId="39E14418" w14:textId="2A1203BF" w:rsidR="004444AB" w:rsidRPr="008560FF" w:rsidRDefault="004444AB" w:rsidP="00756F97">
      <w:pPr>
        <w:pStyle w:val="Caption"/>
        <w:rPr>
          <w:rFonts w:cs="Calibri Light"/>
          <w:szCs w:val="20"/>
        </w:rPr>
      </w:pPr>
      <w:r>
        <w:rPr>
          <w:rFonts w:cs="Calibri Light"/>
          <w:szCs w:val="20"/>
        </w:rPr>
        <w:t xml:space="preserve">Measure Case Water </w:t>
      </w:r>
      <w:r w:rsidR="00695CBC">
        <w:rPr>
          <w:rFonts w:cs="Calibri Light"/>
          <w:szCs w:val="20"/>
        </w:rPr>
        <w:t>Usage</w:t>
      </w:r>
      <w:r>
        <w:rPr>
          <w:rFonts w:cs="Calibri Light"/>
          <w:szCs w:val="20"/>
        </w:rPr>
        <w:t xml:space="preserve"> </w:t>
      </w:r>
      <w:r w:rsidR="00A733CE">
        <w:rPr>
          <w:rFonts w:cs="Calibri Light"/>
          <w:szCs w:val="20"/>
        </w:rPr>
        <w:t>Inputs</w:t>
      </w:r>
      <w:r w:rsidR="00A733CE" w:rsidRPr="008560FF">
        <w:rPr>
          <w:rFonts w:cs="Calibri Light"/>
          <w:szCs w:val="20"/>
        </w:rPr>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080"/>
        <w:gridCol w:w="900"/>
        <w:gridCol w:w="810"/>
        <w:gridCol w:w="720"/>
        <w:gridCol w:w="810"/>
        <w:gridCol w:w="2790"/>
      </w:tblGrid>
      <w:tr w:rsidR="00837472" w:rsidRPr="002D723D" w14:paraId="5A61B028" w14:textId="77777777" w:rsidTr="00876683">
        <w:trPr>
          <w:trHeight w:val="260"/>
        </w:trPr>
        <w:tc>
          <w:tcPr>
            <w:tcW w:w="9535" w:type="dxa"/>
            <w:gridSpan w:val="7"/>
            <w:shd w:val="clear" w:color="auto" w:fill="F2F2F2" w:themeFill="background1" w:themeFillShade="F2"/>
            <w:noWrap/>
            <w:vAlign w:val="bottom"/>
          </w:tcPr>
          <w:p w14:paraId="47AD31F0" w14:textId="6B44B2E6" w:rsidR="00837472" w:rsidRDefault="00837472" w:rsidP="00756F97">
            <w:pPr>
              <w:keepNext/>
              <w:keepLines/>
              <w:spacing w:before="0" w:after="0" w:line="240" w:lineRule="auto"/>
              <w:jc w:val="center"/>
              <w:rPr>
                <w:rFonts w:eastAsia="Times New Roman" w:cs="Calibri Light"/>
                <w:b/>
                <w:sz w:val="20"/>
                <w:szCs w:val="20"/>
              </w:rPr>
            </w:pPr>
            <w:r>
              <w:rPr>
                <w:rFonts w:eastAsia="Times New Roman" w:cs="Calibri Light"/>
                <w:b/>
                <w:sz w:val="20"/>
                <w:szCs w:val="20"/>
              </w:rPr>
              <w:br/>
              <w:t xml:space="preserve">Single Family </w:t>
            </w:r>
          </w:p>
        </w:tc>
      </w:tr>
      <w:tr w:rsidR="004444AB" w:rsidRPr="00651B0E" w14:paraId="3DA77BD4" w14:textId="77777777" w:rsidTr="0080702C">
        <w:tblPrEx>
          <w:shd w:val="clear" w:color="auto" w:fill="FFFFFF" w:themeFill="background1"/>
        </w:tblPrEx>
        <w:trPr>
          <w:trHeight w:val="260"/>
        </w:trPr>
        <w:tc>
          <w:tcPr>
            <w:tcW w:w="2425" w:type="dxa"/>
            <w:shd w:val="clear" w:color="auto" w:fill="F2F2F2" w:themeFill="background1" w:themeFillShade="F2"/>
            <w:noWrap/>
            <w:vAlign w:val="bottom"/>
          </w:tcPr>
          <w:p w14:paraId="482ECA3E" w14:textId="77777777" w:rsidR="004444AB" w:rsidRPr="00651B0E" w:rsidRDefault="004444AB" w:rsidP="00031810">
            <w:pPr>
              <w:spacing w:before="0" w:after="0" w:line="240" w:lineRule="auto"/>
              <w:rPr>
                <w:rFonts w:eastAsia="Times New Roman" w:cs="Times New Roman"/>
                <w:b/>
                <w:sz w:val="20"/>
                <w:szCs w:val="20"/>
              </w:rPr>
            </w:pPr>
            <w:r>
              <w:rPr>
                <w:rFonts w:eastAsia="Times New Roman" w:cs="Times New Roman"/>
                <w:b/>
                <w:sz w:val="20"/>
                <w:szCs w:val="20"/>
              </w:rPr>
              <w:t>Parameter</w:t>
            </w:r>
          </w:p>
        </w:tc>
        <w:tc>
          <w:tcPr>
            <w:tcW w:w="1080" w:type="dxa"/>
            <w:shd w:val="clear" w:color="auto" w:fill="F2F2F2" w:themeFill="background1" w:themeFillShade="F2"/>
            <w:noWrap/>
            <w:vAlign w:val="bottom"/>
          </w:tcPr>
          <w:p w14:paraId="46118563" w14:textId="77777777" w:rsidR="004444AB" w:rsidRPr="00651B0E" w:rsidRDefault="004444AB" w:rsidP="00031810">
            <w:pPr>
              <w:spacing w:before="0" w:after="0" w:line="240" w:lineRule="auto"/>
              <w:rPr>
                <w:rFonts w:eastAsia="Times New Roman" w:cs="Times New Roman"/>
                <w:b/>
                <w:sz w:val="20"/>
                <w:szCs w:val="20"/>
              </w:rPr>
            </w:pPr>
            <w:r>
              <w:rPr>
                <w:rFonts w:eastAsia="Times New Roman" w:cs="Times New Roman"/>
                <w:b/>
                <w:sz w:val="20"/>
                <w:szCs w:val="20"/>
              </w:rPr>
              <w:t>Units</w:t>
            </w:r>
          </w:p>
        </w:tc>
        <w:tc>
          <w:tcPr>
            <w:tcW w:w="900" w:type="dxa"/>
            <w:shd w:val="clear" w:color="auto" w:fill="F2F2F2" w:themeFill="background1" w:themeFillShade="F2"/>
            <w:noWrap/>
            <w:vAlign w:val="bottom"/>
          </w:tcPr>
          <w:p w14:paraId="29371124" w14:textId="77777777" w:rsidR="004444AB" w:rsidRPr="00651B0E" w:rsidRDefault="004444AB" w:rsidP="00031810">
            <w:pPr>
              <w:spacing w:before="0" w:after="0" w:line="240" w:lineRule="auto"/>
              <w:jc w:val="center"/>
              <w:rPr>
                <w:rFonts w:eastAsia="Times New Roman" w:cs="Times New Roman"/>
                <w:b/>
                <w:sz w:val="20"/>
                <w:szCs w:val="20"/>
              </w:rPr>
            </w:pPr>
            <w:r>
              <w:rPr>
                <w:rFonts w:eastAsia="Times New Roman" w:cs="Times New Roman"/>
                <w:b/>
                <w:sz w:val="20"/>
                <w:szCs w:val="20"/>
              </w:rPr>
              <w:t>Kitchen</w:t>
            </w:r>
          </w:p>
        </w:tc>
        <w:tc>
          <w:tcPr>
            <w:tcW w:w="2340" w:type="dxa"/>
            <w:gridSpan w:val="3"/>
            <w:shd w:val="clear" w:color="auto" w:fill="F2F2F2" w:themeFill="background1" w:themeFillShade="F2"/>
            <w:noWrap/>
            <w:vAlign w:val="bottom"/>
          </w:tcPr>
          <w:p w14:paraId="40995451" w14:textId="77777777" w:rsidR="004444AB" w:rsidRPr="00651B0E" w:rsidRDefault="004444AB" w:rsidP="00031810">
            <w:pPr>
              <w:spacing w:before="0" w:after="0" w:line="240" w:lineRule="auto"/>
              <w:jc w:val="center"/>
              <w:rPr>
                <w:rFonts w:eastAsia="Times New Roman" w:cs="Times New Roman"/>
                <w:b/>
                <w:sz w:val="20"/>
                <w:szCs w:val="20"/>
              </w:rPr>
            </w:pPr>
            <w:r>
              <w:rPr>
                <w:rFonts w:eastAsia="Times New Roman" w:cs="Times New Roman"/>
                <w:b/>
                <w:sz w:val="20"/>
                <w:szCs w:val="20"/>
              </w:rPr>
              <w:t>Lavatory</w:t>
            </w:r>
          </w:p>
        </w:tc>
        <w:tc>
          <w:tcPr>
            <w:tcW w:w="2790" w:type="dxa"/>
            <w:shd w:val="clear" w:color="auto" w:fill="F2F2F2" w:themeFill="background1" w:themeFillShade="F2"/>
          </w:tcPr>
          <w:p w14:paraId="554470C8" w14:textId="77777777" w:rsidR="004444AB" w:rsidRPr="00651B0E" w:rsidRDefault="004444AB" w:rsidP="00031810">
            <w:pPr>
              <w:spacing w:before="0" w:after="0" w:line="240" w:lineRule="auto"/>
              <w:jc w:val="center"/>
              <w:rPr>
                <w:rFonts w:eastAsia="Times New Roman" w:cs="Times New Roman"/>
                <w:b/>
                <w:sz w:val="20"/>
                <w:szCs w:val="20"/>
              </w:rPr>
            </w:pPr>
            <w:r>
              <w:rPr>
                <w:rFonts w:eastAsia="Times New Roman" w:cs="Times New Roman"/>
                <w:b/>
                <w:sz w:val="20"/>
                <w:szCs w:val="20"/>
              </w:rPr>
              <w:t>Source</w:t>
            </w:r>
          </w:p>
        </w:tc>
      </w:tr>
      <w:tr w:rsidR="004444AB" w:rsidRPr="00651B0E" w14:paraId="57FAF1A8" w14:textId="77777777" w:rsidTr="0080702C">
        <w:tblPrEx>
          <w:shd w:val="clear" w:color="auto" w:fill="FFFFFF" w:themeFill="background1"/>
        </w:tblPrEx>
        <w:trPr>
          <w:trHeight w:val="260"/>
        </w:trPr>
        <w:tc>
          <w:tcPr>
            <w:tcW w:w="2425" w:type="dxa"/>
            <w:shd w:val="clear" w:color="auto" w:fill="FFFFFF" w:themeFill="background1"/>
            <w:noWrap/>
            <w:vAlign w:val="center"/>
            <w:hideMark/>
          </w:tcPr>
          <w:p w14:paraId="5D463F51" w14:textId="77777777" w:rsidR="004444AB" w:rsidRPr="00651B0E" w:rsidRDefault="004444AB" w:rsidP="00031810">
            <w:pPr>
              <w:spacing w:before="0" w:after="0" w:line="240" w:lineRule="auto"/>
              <w:rPr>
                <w:rFonts w:eastAsia="Times New Roman" w:cs="Times New Roman"/>
                <w:sz w:val="20"/>
                <w:szCs w:val="20"/>
              </w:rPr>
            </w:pPr>
            <w:r w:rsidRPr="00651B0E">
              <w:rPr>
                <w:rFonts w:eastAsia="Times New Roman" w:cs="Times New Roman"/>
                <w:sz w:val="20"/>
                <w:szCs w:val="20"/>
              </w:rPr>
              <w:t>Measure Case Flow Rate</w:t>
            </w:r>
          </w:p>
        </w:tc>
        <w:tc>
          <w:tcPr>
            <w:tcW w:w="1080" w:type="dxa"/>
            <w:shd w:val="clear" w:color="auto" w:fill="FFFFFF" w:themeFill="background1"/>
            <w:noWrap/>
            <w:vAlign w:val="center"/>
            <w:hideMark/>
          </w:tcPr>
          <w:p w14:paraId="6AF7F551" w14:textId="77777777" w:rsidR="004444AB" w:rsidRPr="00651B0E" w:rsidRDefault="004444AB" w:rsidP="00031810">
            <w:pPr>
              <w:spacing w:before="0" w:after="0" w:line="240" w:lineRule="auto"/>
              <w:rPr>
                <w:rFonts w:eastAsia="Times New Roman" w:cs="Times New Roman"/>
                <w:sz w:val="20"/>
                <w:szCs w:val="20"/>
              </w:rPr>
            </w:pPr>
            <w:proofErr w:type="spellStart"/>
            <w:r w:rsidRPr="00651B0E">
              <w:rPr>
                <w:rFonts w:eastAsia="Times New Roman" w:cs="Times New Roman"/>
                <w:sz w:val="20"/>
                <w:szCs w:val="20"/>
              </w:rPr>
              <w:t>gpm</w:t>
            </w:r>
            <w:proofErr w:type="spellEnd"/>
          </w:p>
        </w:tc>
        <w:tc>
          <w:tcPr>
            <w:tcW w:w="900" w:type="dxa"/>
            <w:shd w:val="clear" w:color="auto" w:fill="FFFFFF" w:themeFill="background1"/>
            <w:noWrap/>
            <w:vAlign w:val="center"/>
            <w:hideMark/>
          </w:tcPr>
          <w:p w14:paraId="458B1E09" w14:textId="77777777" w:rsidR="004444AB" w:rsidRPr="00BC4F93" w:rsidRDefault="004444AB"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1.5</w:t>
            </w:r>
          </w:p>
        </w:tc>
        <w:tc>
          <w:tcPr>
            <w:tcW w:w="810" w:type="dxa"/>
            <w:shd w:val="clear" w:color="auto" w:fill="FFFFFF" w:themeFill="background1"/>
            <w:noWrap/>
            <w:vAlign w:val="center"/>
            <w:hideMark/>
          </w:tcPr>
          <w:p w14:paraId="050C119F" w14:textId="77777777" w:rsidR="004444AB" w:rsidRPr="00BC4F93" w:rsidRDefault="004444AB"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0.5</w:t>
            </w:r>
          </w:p>
        </w:tc>
        <w:tc>
          <w:tcPr>
            <w:tcW w:w="720" w:type="dxa"/>
            <w:shd w:val="clear" w:color="auto" w:fill="FFFFFF" w:themeFill="background1"/>
            <w:noWrap/>
            <w:vAlign w:val="center"/>
            <w:hideMark/>
          </w:tcPr>
          <w:p w14:paraId="3B0CA5C7" w14:textId="6975FCF4" w:rsidR="004444AB" w:rsidRPr="00BC4F93" w:rsidRDefault="004444AB"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1</w:t>
            </w:r>
            <w:r w:rsidR="009103B6" w:rsidRPr="00BC4F93">
              <w:rPr>
                <w:rFonts w:eastAsia="Times New Roman" w:cs="Times New Roman"/>
                <w:sz w:val="20"/>
                <w:szCs w:val="20"/>
              </w:rPr>
              <w:t>.0</w:t>
            </w:r>
          </w:p>
        </w:tc>
        <w:tc>
          <w:tcPr>
            <w:tcW w:w="810" w:type="dxa"/>
            <w:shd w:val="clear" w:color="auto" w:fill="FFFFFF" w:themeFill="background1"/>
            <w:noWrap/>
            <w:vAlign w:val="center"/>
            <w:hideMark/>
          </w:tcPr>
          <w:p w14:paraId="6F4092CA" w14:textId="77777777" w:rsidR="004444AB" w:rsidRPr="00BC4F93" w:rsidRDefault="004444AB"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1.2</w:t>
            </w:r>
          </w:p>
        </w:tc>
        <w:tc>
          <w:tcPr>
            <w:tcW w:w="2790" w:type="dxa"/>
            <w:shd w:val="clear" w:color="auto" w:fill="FFFFFF" w:themeFill="background1"/>
            <w:vAlign w:val="center"/>
          </w:tcPr>
          <w:p w14:paraId="1B4C44DF" w14:textId="4B9275D9" w:rsidR="004444AB" w:rsidRPr="00247D11" w:rsidRDefault="00330A0C" w:rsidP="00031810">
            <w:pPr>
              <w:spacing w:before="0" w:after="0" w:line="240" w:lineRule="auto"/>
              <w:rPr>
                <w:rFonts w:eastAsia="Times New Roman" w:cs="Times New Roman"/>
                <w:sz w:val="18"/>
                <w:szCs w:val="20"/>
              </w:rPr>
            </w:pPr>
            <w:r w:rsidRPr="00247D11">
              <w:rPr>
                <w:rFonts w:eastAsia="Times New Roman" w:cs="Times New Roman"/>
                <w:sz w:val="18"/>
                <w:szCs w:val="20"/>
              </w:rPr>
              <w:t>-</w:t>
            </w:r>
          </w:p>
        </w:tc>
      </w:tr>
      <w:tr w:rsidR="00330A0C" w:rsidRPr="00651B0E" w14:paraId="4BCFE8CE" w14:textId="77777777" w:rsidTr="0080702C">
        <w:tblPrEx>
          <w:shd w:val="clear" w:color="auto" w:fill="FFFFFF" w:themeFill="background1"/>
        </w:tblPrEx>
        <w:trPr>
          <w:trHeight w:val="260"/>
        </w:trPr>
        <w:tc>
          <w:tcPr>
            <w:tcW w:w="2425" w:type="dxa"/>
            <w:shd w:val="clear" w:color="auto" w:fill="FFFFFF" w:themeFill="background1"/>
            <w:noWrap/>
            <w:vAlign w:val="center"/>
            <w:hideMark/>
          </w:tcPr>
          <w:p w14:paraId="5115A148" w14:textId="38C5D955" w:rsidR="00330A0C" w:rsidRPr="00651B0E" w:rsidRDefault="00330A0C" w:rsidP="00031810">
            <w:pPr>
              <w:spacing w:before="0" w:after="0" w:line="240" w:lineRule="auto"/>
              <w:rPr>
                <w:rFonts w:eastAsia="Times New Roman" w:cs="Times New Roman"/>
                <w:sz w:val="20"/>
                <w:szCs w:val="20"/>
              </w:rPr>
            </w:pPr>
            <w:r w:rsidRPr="002D723D">
              <w:rPr>
                <w:rFonts w:eastAsia="Times New Roman" w:cs="Calibri Light"/>
                <w:sz w:val="20"/>
                <w:szCs w:val="20"/>
              </w:rPr>
              <w:t xml:space="preserve">Average </w:t>
            </w:r>
            <w:r>
              <w:rPr>
                <w:rFonts w:eastAsia="Times New Roman" w:cs="Calibri Light"/>
                <w:sz w:val="20"/>
                <w:szCs w:val="20"/>
              </w:rPr>
              <w:t xml:space="preserve">Faucet Use </w:t>
            </w:r>
            <w:r w:rsidR="00031810">
              <w:rPr>
                <w:rFonts w:eastAsia="Times New Roman" w:cs="Calibri Light"/>
                <w:sz w:val="20"/>
                <w:szCs w:val="20"/>
              </w:rPr>
              <w:t>Time</w:t>
            </w:r>
          </w:p>
        </w:tc>
        <w:tc>
          <w:tcPr>
            <w:tcW w:w="1080" w:type="dxa"/>
            <w:shd w:val="clear" w:color="auto" w:fill="FFFFFF" w:themeFill="background1"/>
            <w:noWrap/>
            <w:vAlign w:val="center"/>
            <w:hideMark/>
          </w:tcPr>
          <w:p w14:paraId="45D92C89" w14:textId="77777777" w:rsidR="00330A0C" w:rsidRPr="00651B0E" w:rsidRDefault="00330A0C" w:rsidP="00031810">
            <w:pPr>
              <w:spacing w:before="0" w:after="0" w:line="240" w:lineRule="auto"/>
              <w:rPr>
                <w:rFonts w:eastAsia="Times New Roman" w:cs="Times New Roman"/>
                <w:sz w:val="20"/>
                <w:szCs w:val="20"/>
              </w:rPr>
            </w:pPr>
            <w:r w:rsidRPr="00651B0E">
              <w:rPr>
                <w:rFonts w:eastAsia="Times New Roman" w:cs="Times New Roman"/>
                <w:sz w:val="20"/>
                <w:szCs w:val="20"/>
              </w:rPr>
              <w:t>min/day</w:t>
            </w:r>
          </w:p>
        </w:tc>
        <w:tc>
          <w:tcPr>
            <w:tcW w:w="900" w:type="dxa"/>
            <w:shd w:val="clear" w:color="auto" w:fill="FFFFFF" w:themeFill="background1"/>
            <w:noWrap/>
            <w:vAlign w:val="center"/>
            <w:hideMark/>
          </w:tcPr>
          <w:p w14:paraId="378E5465" w14:textId="10267B53" w:rsidR="00330A0C" w:rsidRPr="00BC4F93" w:rsidRDefault="00330A0C"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6.</w:t>
            </w:r>
            <w:r w:rsidR="00604417" w:rsidRPr="00BC4F93">
              <w:rPr>
                <w:rFonts w:eastAsia="Times New Roman" w:cs="Times New Roman"/>
                <w:sz w:val="20"/>
                <w:szCs w:val="20"/>
              </w:rPr>
              <w:t>08</w:t>
            </w:r>
          </w:p>
        </w:tc>
        <w:tc>
          <w:tcPr>
            <w:tcW w:w="810" w:type="dxa"/>
            <w:shd w:val="clear" w:color="auto" w:fill="FFFFFF" w:themeFill="background1"/>
            <w:noWrap/>
            <w:vAlign w:val="center"/>
            <w:hideMark/>
          </w:tcPr>
          <w:p w14:paraId="6A486B40" w14:textId="2F55D6D3" w:rsidR="00330A0C" w:rsidRPr="00BC4F93" w:rsidRDefault="00330A0C"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5.</w:t>
            </w:r>
            <w:r w:rsidR="00604417" w:rsidRPr="00BC4F93">
              <w:rPr>
                <w:rFonts w:eastAsia="Times New Roman" w:cs="Times New Roman"/>
                <w:sz w:val="20"/>
                <w:szCs w:val="20"/>
              </w:rPr>
              <w:t>02</w:t>
            </w:r>
          </w:p>
        </w:tc>
        <w:tc>
          <w:tcPr>
            <w:tcW w:w="720" w:type="dxa"/>
            <w:shd w:val="clear" w:color="auto" w:fill="FFFFFF" w:themeFill="background1"/>
            <w:noWrap/>
            <w:vAlign w:val="center"/>
            <w:hideMark/>
          </w:tcPr>
          <w:p w14:paraId="774757CE" w14:textId="0B1F34EC" w:rsidR="00330A0C" w:rsidRPr="00BC4F93" w:rsidRDefault="00330A0C"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5.</w:t>
            </w:r>
            <w:r w:rsidR="00604417" w:rsidRPr="00BC4F93">
              <w:rPr>
                <w:rFonts w:eastAsia="Times New Roman" w:cs="Times New Roman"/>
                <w:sz w:val="20"/>
                <w:szCs w:val="20"/>
              </w:rPr>
              <w:t>02</w:t>
            </w:r>
          </w:p>
        </w:tc>
        <w:tc>
          <w:tcPr>
            <w:tcW w:w="810" w:type="dxa"/>
            <w:shd w:val="clear" w:color="auto" w:fill="FFFFFF" w:themeFill="background1"/>
            <w:noWrap/>
            <w:vAlign w:val="center"/>
            <w:hideMark/>
          </w:tcPr>
          <w:p w14:paraId="070066B6" w14:textId="473DF429" w:rsidR="00330A0C" w:rsidRPr="00BC4F93" w:rsidRDefault="00330A0C" w:rsidP="00031810">
            <w:pPr>
              <w:spacing w:before="0" w:after="0" w:line="240" w:lineRule="auto"/>
              <w:jc w:val="right"/>
              <w:rPr>
                <w:rFonts w:eastAsia="Times New Roman" w:cs="Times New Roman"/>
                <w:sz w:val="20"/>
                <w:szCs w:val="20"/>
              </w:rPr>
            </w:pPr>
            <w:r w:rsidRPr="00BC4F93">
              <w:rPr>
                <w:rFonts w:eastAsia="Times New Roman" w:cs="Times New Roman"/>
                <w:sz w:val="20"/>
                <w:szCs w:val="20"/>
              </w:rPr>
              <w:t>5.</w:t>
            </w:r>
            <w:r w:rsidR="00604417" w:rsidRPr="00BC4F93">
              <w:rPr>
                <w:rFonts w:eastAsia="Times New Roman" w:cs="Times New Roman"/>
                <w:sz w:val="20"/>
                <w:szCs w:val="20"/>
              </w:rPr>
              <w:t>02</w:t>
            </w:r>
          </w:p>
        </w:tc>
        <w:tc>
          <w:tcPr>
            <w:tcW w:w="2790" w:type="dxa"/>
            <w:shd w:val="clear" w:color="auto" w:fill="FFFFFF" w:themeFill="background1"/>
            <w:vAlign w:val="center"/>
          </w:tcPr>
          <w:p w14:paraId="357104BF" w14:textId="1A28CF33" w:rsidR="00330A0C" w:rsidRPr="00247D11" w:rsidRDefault="00330A0C" w:rsidP="00031810">
            <w:pPr>
              <w:spacing w:before="0" w:after="0" w:line="240" w:lineRule="auto"/>
              <w:rPr>
                <w:rFonts w:eastAsia="Times New Roman" w:cs="Times New Roman"/>
                <w:sz w:val="18"/>
                <w:szCs w:val="20"/>
              </w:rPr>
            </w:pPr>
            <w:r w:rsidRPr="00247D11">
              <w:rPr>
                <w:rFonts w:eastAsia="Times New Roman" w:cs="Calibri Light"/>
                <w:i/>
                <w:sz w:val="18"/>
                <w:szCs w:val="20"/>
              </w:rPr>
              <w:t>(calculated)</w:t>
            </w:r>
          </w:p>
        </w:tc>
      </w:tr>
      <w:tr w:rsidR="00CE3A2F" w:rsidRPr="007275D8" w14:paraId="1D2AEE49" w14:textId="77777777" w:rsidTr="00A51661">
        <w:tblPrEx>
          <w:shd w:val="clear" w:color="auto" w:fill="FFFFFF" w:themeFill="background1"/>
        </w:tblPrEx>
        <w:trPr>
          <w:trHeight w:val="260"/>
        </w:trPr>
        <w:tc>
          <w:tcPr>
            <w:tcW w:w="9535" w:type="dxa"/>
            <w:gridSpan w:val="7"/>
            <w:shd w:val="clear" w:color="auto" w:fill="F2F2F2" w:themeFill="background1" w:themeFillShade="F2"/>
            <w:noWrap/>
            <w:vAlign w:val="bottom"/>
          </w:tcPr>
          <w:p w14:paraId="3B5DEBC6" w14:textId="52B38D44" w:rsidR="00CE3A2F" w:rsidRPr="00BC4F93" w:rsidRDefault="00970310" w:rsidP="003C5992">
            <w:pPr>
              <w:keepNext/>
              <w:keepLines/>
              <w:spacing w:before="0" w:after="0" w:line="240" w:lineRule="auto"/>
              <w:jc w:val="center"/>
              <w:rPr>
                <w:rFonts w:eastAsia="Times New Roman" w:cs="Times New Roman"/>
                <w:b/>
                <w:sz w:val="20"/>
                <w:szCs w:val="20"/>
              </w:rPr>
            </w:pPr>
            <w:r w:rsidRPr="00BC4F93">
              <w:rPr>
                <w:rFonts w:eastAsia="Times New Roman" w:cs="Times New Roman"/>
                <w:b/>
                <w:sz w:val="20"/>
                <w:szCs w:val="20"/>
              </w:rPr>
              <w:br/>
            </w:r>
            <w:r w:rsidR="00CE3A2F" w:rsidRPr="00BC4F93">
              <w:rPr>
                <w:rFonts w:eastAsia="Times New Roman" w:cs="Times New Roman"/>
                <w:b/>
                <w:sz w:val="20"/>
                <w:szCs w:val="20"/>
              </w:rPr>
              <w:t>Multifamily</w:t>
            </w:r>
            <w:r w:rsidR="00D03583" w:rsidRPr="00BC4F93">
              <w:rPr>
                <w:rFonts w:eastAsia="Times New Roman" w:cs="Times New Roman"/>
                <w:b/>
                <w:sz w:val="20"/>
                <w:szCs w:val="20"/>
              </w:rPr>
              <w:t xml:space="preserve"> / Mobile Home</w:t>
            </w:r>
          </w:p>
        </w:tc>
      </w:tr>
      <w:tr w:rsidR="00CE3A2F" w:rsidRPr="00651B0E" w14:paraId="4487C32D" w14:textId="77777777" w:rsidTr="0080702C">
        <w:tblPrEx>
          <w:shd w:val="clear" w:color="auto" w:fill="FFFFFF" w:themeFill="background1"/>
        </w:tblPrEx>
        <w:trPr>
          <w:trHeight w:val="260"/>
        </w:trPr>
        <w:tc>
          <w:tcPr>
            <w:tcW w:w="2425" w:type="dxa"/>
            <w:shd w:val="clear" w:color="auto" w:fill="F2F2F2" w:themeFill="background1" w:themeFillShade="F2"/>
            <w:noWrap/>
            <w:vAlign w:val="bottom"/>
          </w:tcPr>
          <w:p w14:paraId="13043AD1" w14:textId="77777777" w:rsidR="00CE3A2F" w:rsidRPr="00651B0E" w:rsidRDefault="00CE3A2F" w:rsidP="003C5992">
            <w:pPr>
              <w:keepNext/>
              <w:keepLines/>
              <w:spacing w:before="0" w:after="0" w:line="240" w:lineRule="auto"/>
              <w:rPr>
                <w:rFonts w:eastAsia="Times New Roman" w:cs="Times New Roman"/>
                <w:b/>
                <w:sz w:val="20"/>
                <w:szCs w:val="20"/>
              </w:rPr>
            </w:pPr>
            <w:r>
              <w:rPr>
                <w:rFonts w:eastAsia="Times New Roman" w:cs="Times New Roman"/>
                <w:b/>
                <w:sz w:val="20"/>
                <w:szCs w:val="20"/>
              </w:rPr>
              <w:t>Parameter</w:t>
            </w:r>
          </w:p>
        </w:tc>
        <w:tc>
          <w:tcPr>
            <w:tcW w:w="1080" w:type="dxa"/>
            <w:shd w:val="clear" w:color="auto" w:fill="F2F2F2" w:themeFill="background1" w:themeFillShade="F2"/>
            <w:noWrap/>
            <w:vAlign w:val="bottom"/>
          </w:tcPr>
          <w:p w14:paraId="245124AA" w14:textId="77777777" w:rsidR="00CE3A2F" w:rsidRPr="00651B0E" w:rsidRDefault="00CE3A2F" w:rsidP="003C5992">
            <w:pPr>
              <w:keepNext/>
              <w:keepLines/>
              <w:spacing w:before="0" w:after="0" w:line="240" w:lineRule="auto"/>
              <w:rPr>
                <w:rFonts w:eastAsia="Times New Roman" w:cs="Times New Roman"/>
                <w:b/>
                <w:sz w:val="20"/>
                <w:szCs w:val="20"/>
              </w:rPr>
            </w:pPr>
            <w:r>
              <w:rPr>
                <w:rFonts w:eastAsia="Times New Roman" w:cs="Times New Roman"/>
                <w:b/>
                <w:sz w:val="20"/>
                <w:szCs w:val="20"/>
              </w:rPr>
              <w:t>Units</w:t>
            </w:r>
          </w:p>
        </w:tc>
        <w:tc>
          <w:tcPr>
            <w:tcW w:w="900" w:type="dxa"/>
            <w:shd w:val="clear" w:color="auto" w:fill="F2F2F2" w:themeFill="background1" w:themeFillShade="F2"/>
            <w:noWrap/>
            <w:vAlign w:val="bottom"/>
          </w:tcPr>
          <w:p w14:paraId="57F86533" w14:textId="77777777" w:rsidR="00CE3A2F" w:rsidRPr="00BC4F93" w:rsidRDefault="00CE3A2F" w:rsidP="003C5992">
            <w:pPr>
              <w:keepNext/>
              <w:keepLines/>
              <w:spacing w:before="0" w:after="0" w:line="240" w:lineRule="auto"/>
              <w:jc w:val="center"/>
              <w:rPr>
                <w:rFonts w:eastAsia="Times New Roman" w:cs="Times New Roman"/>
                <w:b/>
                <w:sz w:val="20"/>
                <w:szCs w:val="20"/>
              </w:rPr>
            </w:pPr>
            <w:r w:rsidRPr="00BC4F93">
              <w:rPr>
                <w:rFonts w:eastAsia="Times New Roman" w:cs="Times New Roman"/>
                <w:b/>
                <w:sz w:val="20"/>
                <w:szCs w:val="20"/>
              </w:rPr>
              <w:t>Kitchen</w:t>
            </w:r>
          </w:p>
        </w:tc>
        <w:tc>
          <w:tcPr>
            <w:tcW w:w="2340" w:type="dxa"/>
            <w:gridSpan w:val="3"/>
            <w:shd w:val="clear" w:color="auto" w:fill="F2F2F2" w:themeFill="background1" w:themeFillShade="F2"/>
            <w:noWrap/>
            <w:vAlign w:val="bottom"/>
          </w:tcPr>
          <w:p w14:paraId="6F4F2E64" w14:textId="77777777" w:rsidR="00CE3A2F" w:rsidRPr="00BC4F93" w:rsidRDefault="00CE3A2F" w:rsidP="003C5992">
            <w:pPr>
              <w:keepNext/>
              <w:keepLines/>
              <w:spacing w:before="0" w:after="0" w:line="240" w:lineRule="auto"/>
              <w:jc w:val="center"/>
              <w:rPr>
                <w:rFonts w:eastAsia="Times New Roman" w:cs="Times New Roman"/>
                <w:b/>
                <w:sz w:val="20"/>
                <w:szCs w:val="20"/>
              </w:rPr>
            </w:pPr>
            <w:r w:rsidRPr="00BC4F93">
              <w:rPr>
                <w:rFonts w:eastAsia="Times New Roman" w:cs="Times New Roman"/>
                <w:b/>
                <w:sz w:val="20"/>
                <w:szCs w:val="20"/>
              </w:rPr>
              <w:t>Lavatory</w:t>
            </w:r>
          </w:p>
        </w:tc>
        <w:tc>
          <w:tcPr>
            <w:tcW w:w="2790" w:type="dxa"/>
            <w:shd w:val="clear" w:color="auto" w:fill="F2F2F2" w:themeFill="background1" w:themeFillShade="F2"/>
          </w:tcPr>
          <w:p w14:paraId="4BB39C80" w14:textId="77777777" w:rsidR="00CE3A2F" w:rsidRPr="00651B0E" w:rsidRDefault="00CE3A2F" w:rsidP="003C5992">
            <w:pPr>
              <w:keepNext/>
              <w:keepLines/>
              <w:spacing w:before="0" w:after="0" w:line="240" w:lineRule="auto"/>
              <w:jc w:val="center"/>
              <w:rPr>
                <w:rFonts w:eastAsia="Times New Roman" w:cs="Times New Roman"/>
                <w:b/>
                <w:sz w:val="20"/>
                <w:szCs w:val="20"/>
              </w:rPr>
            </w:pPr>
            <w:r>
              <w:rPr>
                <w:rFonts w:eastAsia="Times New Roman" w:cs="Times New Roman"/>
                <w:b/>
                <w:sz w:val="20"/>
                <w:szCs w:val="20"/>
              </w:rPr>
              <w:t>Source</w:t>
            </w:r>
          </w:p>
        </w:tc>
      </w:tr>
      <w:tr w:rsidR="00CE3A2F" w:rsidRPr="00651B0E" w14:paraId="1DF1A350" w14:textId="77777777" w:rsidTr="0080702C">
        <w:tblPrEx>
          <w:shd w:val="clear" w:color="auto" w:fill="FFFFFF" w:themeFill="background1"/>
        </w:tblPrEx>
        <w:trPr>
          <w:trHeight w:val="260"/>
        </w:trPr>
        <w:tc>
          <w:tcPr>
            <w:tcW w:w="2425" w:type="dxa"/>
            <w:shd w:val="clear" w:color="auto" w:fill="FFFFFF" w:themeFill="background1"/>
            <w:noWrap/>
            <w:vAlign w:val="center"/>
            <w:hideMark/>
          </w:tcPr>
          <w:p w14:paraId="275765AC" w14:textId="77777777" w:rsidR="00CE3A2F" w:rsidRPr="00651B0E" w:rsidRDefault="00CE3A2F" w:rsidP="003C5992">
            <w:pPr>
              <w:keepNext/>
              <w:keepLines/>
              <w:spacing w:before="0" w:after="0" w:line="240" w:lineRule="auto"/>
              <w:rPr>
                <w:rFonts w:eastAsia="Times New Roman" w:cs="Times New Roman"/>
                <w:sz w:val="20"/>
                <w:szCs w:val="20"/>
              </w:rPr>
            </w:pPr>
            <w:r w:rsidRPr="00651B0E">
              <w:rPr>
                <w:rFonts w:eastAsia="Times New Roman" w:cs="Times New Roman"/>
                <w:sz w:val="20"/>
                <w:szCs w:val="20"/>
              </w:rPr>
              <w:t>Measure Case Flow Rate</w:t>
            </w:r>
          </w:p>
        </w:tc>
        <w:tc>
          <w:tcPr>
            <w:tcW w:w="1080" w:type="dxa"/>
            <w:shd w:val="clear" w:color="auto" w:fill="FFFFFF" w:themeFill="background1"/>
            <w:noWrap/>
            <w:vAlign w:val="center"/>
            <w:hideMark/>
          </w:tcPr>
          <w:p w14:paraId="5EE44688" w14:textId="77777777" w:rsidR="00CE3A2F" w:rsidRPr="00651B0E" w:rsidRDefault="00CE3A2F" w:rsidP="003C5992">
            <w:pPr>
              <w:keepNext/>
              <w:keepLines/>
              <w:spacing w:before="0" w:after="0" w:line="240" w:lineRule="auto"/>
              <w:rPr>
                <w:rFonts w:eastAsia="Times New Roman" w:cs="Times New Roman"/>
                <w:sz w:val="20"/>
                <w:szCs w:val="20"/>
              </w:rPr>
            </w:pPr>
            <w:proofErr w:type="spellStart"/>
            <w:r w:rsidRPr="00651B0E">
              <w:rPr>
                <w:rFonts w:eastAsia="Times New Roman" w:cs="Times New Roman"/>
                <w:sz w:val="20"/>
                <w:szCs w:val="20"/>
              </w:rPr>
              <w:t>gpm</w:t>
            </w:r>
            <w:proofErr w:type="spellEnd"/>
          </w:p>
        </w:tc>
        <w:tc>
          <w:tcPr>
            <w:tcW w:w="900" w:type="dxa"/>
            <w:shd w:val="clear" w:color="auto" w:fill="FFFFFF" w:themeFill="background1"/>
            <w:noWrap/>
            <w:vAlign w:val="center"/>
            <w:hideMark/>
          </w:tcPr>
          <w:p w14:paraId="7672C172" w14:textId="77777777" w:rsidR="00CE3A2F" w:rsidRPr="00BC4F93" w:rsidRDefault="00CE3A2F"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1.5</w:t>
            </w:r>
          </w:p>
        </w:tc>
        <w:tc>
          <w:tcPr>
            <w:tcW w:w="810" w:type="dxa"/>
            <w:shd w:val="clear" w:color="auto" w:fill="FFFFFF" w:themeFill="background1"/>
            <w:noWrap/>
            <w:vAlign w:val="center"/>
            <w:hideMark/>
          </w:tcPr>
          <w:p w14:paraId="2B741DCA" w14:textId="77777777" w:rsidR="00CE3A2F" w:rsidRPr="00BC4F93" w:rsidRDefault="00CE3A2F"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0.5</w:t>
            </w:r>
          </w:p>
        </w:tc>
        <w:tc>
          <w:tcPr>
            <w:tcW w:w="720" w:type="dxa"/>
            <w:shd w:val="clear" w:color="auto" w:fill="FFFFFF" w:themeFill="background1"/>
            <w:noWrap/>
            <w:vAlign w:val="center"/>
            <w:hideMark/>
          </w:tcPr>
          <w:p w14:paraId="20A78D1A" w14:textId="3301FEA2" w:rsidR="00CE3A2F" w:rsidRPr="00BC4F93" w:rsidRDefault="00CE3A2F"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1</w:t>
            </w:r>
            <w:r w:rsidR="009103B6" w:rsidRPr="00BC4F93">
              <w:rPr>
                <w:rFonts w:eastAsia="Times New Roman" w:cs="Times New Roman"/>
                <w:sz w:val="20"/>
                <w:szCs w:val="20"/>
              </w:rPr>
              <w:t>.0</w:t>
            </w:r>
          </w:p>
        </w:tc>
        <w:tc>
          <w:tcPr>
            <w:tcW w:w="810" w:type="dxa"/>
            <w:shd w:val="clear" w:color="auto" w:fill="FFFFFF" w:themeFill="background1"/>
            <w:noWrap/>
            <w:vAlign w:val="center"/>
            <w:hideMark/>
          </w:tcPr>
          <w:p w14:paraId="56DCD332" w14:textId="77777777" w:rsidR="00CE3A2F" w:rsidRPr="00BC4F93" w:rsidRDefault="00CE3A2F"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1.2</w:t>
            </w:r>
          </w:p>
        </w:tc>
        <w:tc>
          <w:tcPr>
            <w:tcW w:w="2790" w:type="dxa"/>
            <w:shd w:val="clear" w:color="auto" w:fill="FFFFFF" w:themeFill="background1"/>
            <w:vAlign w:val="center"/>
          </w:tcPr>
          <w:p w14:paraId="709EFA34" w14:textId="4CBFD255" w:rsidR="00CE3A2F" w:rsidRPr="00247D11" w:rsidRDefault="00330A0C" w:rsidP="003C5992">
            <w:pPr>
              <w:keepNext/>
              <w:keepLines/>
              <w:spacing w:before="0" w:after="0" w:line="240" w:lineRule="auto"/>
              <w:rPr>
                <w:rFonts w:eastAsia="Times New Roman" w:cs="Times New Roman"/>
                <w:sz w:val="18"/>
                <w:szCs w:val="18"/>
              </w:rPr>
            </w:pPr>
            <w:r w:rsidRPr="00247D11">
              <w:rPr>
                <w:rFonts w:eastAsia="Times New Roman" w:cs="Times New Roman"/>
                <w:sz w:val="18"/>
                <w:szCs w:val="18"/>
              </w:rPr>
              <w:t>-</w:t>
            </w:r>
          </w:p>
        </w:tc>
      </w:tr>
      <w:tr w:rsidR="00330A0C" w:rsidRPr="00651B0E" w14:paraId="2120AB96" w14:textId="77777777" w:rsidTr="0080702C">
        <w:tblPrEx>
          <w:shd w:val="clear" w:color="auto" w:fill="FFFFFF" w:themeFill="background1"/>
        </w:tblPrEx>
        <w:trPr>
          <w:trHeight w:val="260"/>
        </w:trPr>
        <w:tc>
          <w:tcPr>
            <w:tcW w:w="2425" w:type="dxa"/>
            <w:shd w:val="clear" w:color="auto" w:fill="FFFFFF" w:themeFill="background1"/>
            <w:noWrap/>
            <w:vAlign w:val="center"/>
            <w:hideMark/>
          </w:tcPr>
          <w:p w14:paraId="5A1308CE" w14:textId="668B2943" w:rsidR="00330A0C" w:rsidRPr="00651B0E" w:rsidRDefault="00330A0C" w:rsidP="003C5992">
            <w:pPr>
              <w:keepNext/>
              <w:keepLines/>
              <w:spacing w:before="0" w:after="0" w:line="240" w:lineRule="auto"/>
              <w:rPr>
                <w:rFonts w:eastAsia="Times New Roman" w:cs="Times New Roman"/>
                <w:sz w:val="20"/>
                <w:szCs w:val="20"/>
              </w:rPr>
            </w:pPr>
            <w:r w:rsidRPr="002D723D">
              <w:rPr>
                <w:rFonts w:eastAsia="Times New Roman" w:cs="Calibri Light"/>
                <w:sz w:val="20"/>
                <w:szCs w:val="20"/>
              </w:rPr>
              <w:t xml:space="preserve">Average </w:t>
            </w:r>
            <w:r>
              <w:rPr>
                <w:rFonts w:eastAsia="Times New Roman" w:cs="Calibri Light"/>
                <w:sz w:val="20"/>
                <w:szCs w:val="20"/>
              </w:rPr>
              <w:t xml:space="preserve">Faucet Use </w:t>
            </w:r>
            <w:r w:rsidR="00031810">
              <w:rPr>
                <w:rFonts w:eastAsia="Times New Roman" w:cs="Calibri Light"/>
                <w:sz w:val="20"/>
                <w:szCs w:val="20"/>
              </w:rPr>
              <w:t>Time</w:t>
            </w:r>
          </w:p>
        </w:tc>
        <w:tc>
          <w:tcPr>
            <w:tcW w:w="1080" w:type="dxa"/>
            <w:shd w:val="clear" w:color="auto" w:fill="FFFFFF" w:themeFill="background1"/>
            <w:noWrap/>
            <w:vAlign w:val="center"/>
            <w:hideMark/>
          </w:tcPr>
          <w:p w14:paraId="2745B163" w14:textId="77777777" w:rsidR="00330A0C" w:rsidRPr="00651B0E" w:rsidRDefault="00330A0C" w:rsidP="003C5992">
            <w:pPr>
              <w:keepNext/>
              <w:keepLines/>
              <w:spacing w:before="0" w:after="0" w:line="240" w:lineRule="auto"/>
              <w:rPr>
                <w:rFonts w:eastAsia="Times New Roman" w:cs="Times New Roman"/>
                <w:sz w:val="20"/>
                <w:szCs w:val="20"/>
              </w:rPr>
            </w:pPr>
            <w:r w:rsidRPr="00651B0E">
              <w:rPr>
                <w:rFonts w:eastAsia="Times New Roman" w:cs="Times New Roman"/>
                <w:sz w:val="20"/>
                <w:szCs w:val="20"/>
              </w:rPr>
              <w:t>min/day</w:t>
            </w:r>
          </w:p>
        </w:tc>
        <w:tc>
          <w:tcPr>
            <w:tcW w:w="900" w:type="dxa"/>
            <w:shd w:val="clear" w:color="auto" w:fill="FFFFFF" w:themeFill="background1"/>
            <w:noWrap/>
            <w:vAlign w:val="center"/>
            <w:hideMark/>
          </w:tcPr>
          <w:p w14:paraId="37B2E1AE" w14:textId="2ECCAC1A" w:rsidR="00330A0C" w:rsidRPr="00BC4F93" w:rsidRDefault="00330A0C"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5.</w:t>
            </w:r>
            <w:r w:rsidR="00604417" w:rsidRPr="00BC4F93">
              <w:rPr>
                <w:rFonts w:eastAsia="Times New Roman" w:cs="Times New Roman"/>
                <w:sz w:val="20"/>
                <w:szCs w:val="20"/>
              </w:rPr>
              <w:t>07</w:t>
            </w:r>
          </w:p>
        </w:tc>
        <w:tc>
          <w:tcPr>
            <w:tcW w:w="810" w:type="dxa"/>
            <w:shd w:val="clear" w:color="auto" w:fill="FFFFFF" w:themeFill="background1"/>
            <w:noWrap/>
            <w:vAlign w:val="center"/>
            <w:hideMark/>
          </w:tcPr>
          <w:p w14:paraId="6488AB52" w14:textId="7CF327CD" w:rsidR="00330A0C" w:rsidRPr="00BC4F93" w:rsidRDefault="00330A0C"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4.</w:t>
            </w:r>
            <w:r w:rsidR="00604417" w:rsidRPr="00BC4F93">
              <w:rPr>
                <w:rFonts w:eastAsia="Times New Roman" w:cs="Times New Roman"/>
                <w:sz w:val="20"/>
                <w:szCs w:val="20"/>
              </w:rPr>
              <w:t xml:space="preserve">18 </w:t>
            </w:r>
          </w:p>
        </w:tc>
        <w:tc>
          <w:tcPr>
            <w:tcW w:w="720" w:type="dxa"/>
            <w:shd w:val="clear" w:color="auto" w:fill="FFFFFF" w:themeFill="background1"/>
            <w:noWrap/>
            <w:vAlign w:val="center"/>
            <w:hideMark/>
          </w:tcPr>
          <w:p w14:paraId="6A216432" w14:textId="174AD2D2" w:rsidR="00330A0C" w:rsidRPr="00BC4F93" w:rsidRDefault="00330A0C"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4.</w:t>
            </w:r>
            <w:r w:rsidR="00604417" w:rsidRPr="00BC4F93">
              <w:rPr>
                <w:rFonts w:eastAsia="Times New Roman" w:cs="Times New Roman"/>
                <w:sz w:val="20"/>
                <w:szCs w:val="20"/>
              </w:rPr>
              <w:t xml:space="preserve">18 </w:t>
            </w:r>
          </w:p>
        </w:tc>
        <w:tc>
          <w:tcPr>
            <w:tcW w:w="810" w:type="dxa"/>
            <w:shd w:val="clear" w:color="auto" w:fill="FFFFFF" w:themeFill="background1"/>
            <w:noWrap/>
            <w:vAlign w:val="center"/>
            <w:hideMark/>
          </w:tcPr>
          <w:p w14:paraId="1E0DB239" w14:textId="2C8672C5" w:rsidR="00330A0C" w:rsidRPr="00BC4F93" w:rsidRDefault="00330A0C" w:rsidP="003C5992">
            <w:pPr>
              <w:keepNext/>
              <w:keepLines/>
              <w:spacing w:before="0" w:after="0" w:line="240" w:lineRule="auto"/>
              <w:jc w:val="right"/>
              <w:rPr>
                <w:rFonts w:eastAsia="Times New Roman" w:cs="Times New Roman"/>
                <w:sz w:val="20"/>
                <w:szCs w:val="20"/>
              </w:rPr>
            </w:pPr>
            <w:r w:rsidRPr="00BC4F93">
              <w:rPr>
                <w:rFonts w:eastAsia="Times New Roman" w:cs="Times New Roman"/>
                <w:sz w:val="20"/>
                <w:szCs w:val="20"/>
              </w:rPr>
              <w:t>4.</w:t>
            </w:r>
            <w:r w:rsidR="00604417" w:rsidRPr="00BC4F93">
              <w:rPr>
                <w:rFonts w:eastAsia="Times New Roman" w:cs="Times New Roman"/>
                <w:sz w:val="20"/>
                <w:szCs w:val="20"/>
              </w:rPr>
              <w:t xml:space="preserve">18 </w:t>
            </w:r>
          </w:p>
        </w:tc>
        <w:tc>
          <w:tcPr>
            <w:tcW w:w="2790" w:type="dxa"/>
            <w:shd w:val="clear" w:color="auto" w:fill="FFFFFF" w:themeFill="background1"/>
            <w:vAlign w:val="center"/>
          </w:tcPr>
          <w:p w14:paraId="0E7B094E" w14:textId="6DD62691" w:rsidR="00330A0C" w:rsidRPr="00247D11" w:rsidRDefault="00330A0C" w:rsidP="003C5992">
            <w:pPr>
              <w:keepNext/>
              <w:keepLines/>
              <w:spacing w:before="0" w:after="0" w:line="240" w:lineRule="auto"/>
              <w:rPr>
                <w:rFonts w:eastAsia="Times New Roman" w:cs="Times New Roman"/>
                <w:sz w:val="18"/>
                <w:szCs w:val="18"/>
              </w:rPr>
            </w:pPr>
            <w:r w:rsidRPr="00247D11">
              <w:rPr>
                <w:rFonts w:eastAsia="Times New Roman" w:cs="Calibri Light"/>
                <w:i/>
                <w:sz w:val="18"/>
                <w:szCs w:val="18"/>
              </w:rPr>
              <w:t>(calculated)</w:t>
            </w:r>
          </w:p>
        </w:tc>
      </w:tr>
    </w:tbl>
    <w:p w14:paraId="396DBB10" w14:textId="77777777" w:rsidR="00E730CF" w:rsidRPr="00E730CF" w:rsidRDefault="00E730CF" w:rsidP="00E730CF"/>
    <w:bookmarkEnd w:id="73"/>
    <w:p w14:paraId="0B0EDACD" w14:textId="2B02B00B" w:rsidR="00796CE2" w:rsidRDefault="00E730CF" w:rsidP="00E730CF">
      <w:r w:rsidRPr="00EA77DF">
        <w:rPr>
          <w:b/>
        </w:rPr>
        <w:t>Average Faucet Use</w:t>
      </w:r>
      <w:r w:rsidR="00031810">
        <w:rPr>
          <w:b/>
        </w:rPr>
        <w:t xml:space="preserve"> Time</w:t>
      </w:r>
      <w:r w:rsidRPr="00EA77DF">
        <w:rPr>
          <w:b/>
        </w:rPr>
        <w:t>.</w:t>
      </w:r>
      <w:r>
        <w:t xml:space="preserve"> </w:t>
      </w:r>
      <w:r w:rsidRPr="006757A0">
        <w:t xml:space="preserve">The estimated total water </w:t>
      </w:r>
      <w:r>
        <w:t>usage</w:t>
      </w:r>
      <w:r w:rsidRPr="006757A0">
        <w:t xml:space="preserve"> of all faucets in the household (gallons per day, gpd) was drawn from the Building America Research study</w:t>
      </w:r>
      <w:r w:rsidR="009103B6">
        <w:t xml:space="preserve"> conducted by the National Renewable Energy Laboratory (NREL)</w:t>
      </w:r>
      <w:r w:rsidR="00325626">
        <w:t>.</w:t>
      </w:r>
      <w:r w:rsidRPr="006757A0">
        <w:rPr>
          <w:rStyle w:val="FootnoteReference"/>
        </w:rPr>
        <w:footnoteReference w:id="6"/>
      </w:r>
      <w:r w:rsidRPr="006757A0">
        <w:t xml:space="preserve"> To derive water </w:t>
      </w:r>
      <w:r>
        <w:t>usage</w:t>
      </w:r>
      <w:r w:rsidRPr="006757A0">
        <w:t xml:space="preserve"> by faucet</w:t>
      </w:r>
      <w:r>
        <w:t xml:space="preserve"> type, </w:t>
      </w:r>
      <w:r w:rsidR="009103B6">
        <w:t xml:space="preserve">data from the </w:t>
      </w:r>
      <w:r w:rsidR="00330A0C">
        <w:t xml:space="preserve">Sempra Energy Utilities (San Diego Gas and Electric and the Southern California Gas Company) </w:t>
      </w:r>
      <w:r w:rsidR="00252C37">
        <w:t xml:space="preserve">2009 </w:t>
      </w:r>
      <w:r w:rsidR="00330A0C">
        <w:t>field</w:t>
      </w:r>
      <w:r>
        <w:t xml:space="preserve"> survey</w:t>
      </w:r>
      <w:r w:rsidR="00325626">
        <w:rPr>
          <w:rStyle w:val="FootnoteReference"/>
        </w:rPr>
        <w:footnoteReference w:id="7"/>
      </w:r>
      <w:r>
        <w:t xml:space="preserve"> was used to apportion the usage between kitchens and lavatories for both single-family and multifamily residences. </w:t>
      </w:r>
      <w:bookmarkStart w:id="75" w:name="_Hlk522821425"/>
      <w:r w:rsidR="006F3B71">
        <w:t>The portion of total sink water usage is specified in the table below.</w:t>
      </w:r>
    </w:p>
    <w:p w14:paraId="077915AE" w14:textId="77777777" w:rsidR="00031810" w:rsidRDefault="00031810" w:rsidP="00031810">
      <w:pPr>
        <w:pStyle w:val="Caption"/>
      </w:pPr>
      <w:r>
        <w:lastRenderedPageBreak/>
        <w:t>Sink Water Usage Breakdown and Number of Faucets per Household, by Aerator Application</w:t>
      </w:r>
    </w:p>
    <w:tbl>
      <w:tblPr>
        <w:tblW w:w="92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2065"/>
        <w:gridCol w:w="1350"/>
        <w:gridCol w:w="1350"/>
        <w:gridCol w:w="4451"/>
      </w:tblGrid>
      <w:tr w:rsidR="00031810" w:rsidRPr="00BC4F93" w14:paraId="63A4AC4C" w14:textId="353F7E9E" w:rsidTr="002730A8">
        <w:trPr>
          <w:trHeight w:val="260"/>
        </w:trPr>
        <w:tc>
          <w:tcPr>
            <w:tcW w:w="2065" w:type="dxa"/>
            <w:shd w:val="clear" w:color="auto" w:fill="F2F2F2" w:themeFill="background1" w:themeFillShade="F2"/>
            <w:noWrap/>
            <w:vAlign w:val="bottom"/>
          </w:tcPr>
          <w:p w14:paraId="42B83057" w14:textId="1D447B23" w:rsidR="00031810" w:rsidRPr="00651B0E" w:rsidRDefault="00031810" w:rsidP="00523E95">
            <w:pPr>
              <w:keepNext/>
              <w:keepLines/>
              <w:spacing w:before="0" w:after="0" w:line="240" w:lineRule="auto"/>
              <w:rPr>
                <w:rFonts w:eastAsia="Times New Roman" w:cs="Times New Roman"/>
                <w:b/>
                <w:sz w:val="20"/>
                <w:szCs w:val="20"/>
              </w:rPr>
            </w:pPr>
            <w:r>
              <w:rPr>
                <w:rFonts w:eastAsia="Times New Roman" w:cs="Times New Roman"/>
                <w:b/>
                <w:sz w:val="20"/>
                <w:szCs w:val="20"/>
              </w:rPr>
              <w:t>Parameter</w:t>
            </w:r>
          </w:p>
        </w:tc>
        <w:tc>
          <w:tcPr>
            <w:tcW w:w="1350" w:type="dxa"/>
            <w:shd w:val="clear" w:color="auto" w:fill="F2F2F2" w:themeFill="background1" w:themeFillShade="F2"/>
            <w:noWrap/>
            <w:vAlign w:val="bottom"/>
          </w:tcPr>
          <w:p w14:paraId="2F23467C" w14:textId="47B05481" w:rsidR="00031810" w:rsidRPr="00651B0E" w:rsidRDefault="00031810" w:rsidP="00031810">
            <w:pPr>
              <w:keepNext/>
              <w:keepLines/>
              <w:spacing w:before="0" w:after="0" w:line="240" w:lineRule="auto"/>
              <w:jc w:val="center"/>
              <w:rPr>
                <w:rFonts w:eastAsia="Times New Roman" w:cs="Times New Roman"/>
                <w:b/>
                <w:sz w:val="20"/>
                <w:szCs w:val="20"/>
              </w:rPr>
            </w:pPr>
            <w:r>
              <w:rPr>
                <w:rFonts w:eastAsia="Times New Roman" w:cs="Times New Roman"/>
                <w:b/>
                <w:sz w:val="20"/>
                <w:szCs w:val="20"/>
              </w:rPr>
              <w:t>Kitchen</w:t>
            </w:r>
          </w:p>
        </w:tc>
        <w:tc>
          <w:tcPr>
            <w:tcW w:w="1350" w:type="dxa"/>
            <w:shd w:val="clear" w:color="auto" w:fill="F2F2F2" w:themeFill="background1" w:themeFillShade="F2"/>
            <w:noWrap/>
            <w:vAlign w:val="bottom"/>
          </w:tcPr>
          <w:p w14:paraId="7753C475" w14:textId="5E062DDC" w:rsidR="00031810" w:rsidRPr="00BC4F93" w:rsidRDefault="00031810" w:rsidP="00031810">
            <w:pPr>
              <w:keepNext/>
              <w:keepLines/>
              <w:spacing w:before="0" w:after="0" w:line="240" w:lineRule="auto"/>
              <w:jc w:val="center"/>
              <w:rPr>
                <w:rFonts w:eastAsia="Times New Roman" w:cs="Times New Roman"/>
                <w:b/>
                <w:sz w:val="20"/>
                <w:szCs w:val="20"/>
              </w:rPr>
            </w:pPr>
            <w:r>
              <w:rPr>
                <w:rFonts w:eastAsia="Times New Roman" w:cs="Times New Roman"/>
                <w:b/>
                <w:sz w:val="20"/>
                <w:szCs w:val="20"/>
              </w:rPr>
              <w:t>Lavatory</w:t>
            </w:r>
          </w:p>
        </w:tc>
        <w:tc>
          <w:tcPr>
            <w:tcW w:w="4451" w:type="dxa"/>
            <w:shd w:val="clear" w:color="auto" w:fill="F2F2F2" w:themeFill="background1" w:themeFillShade="F2"/>
          </w:tcPr>
          <w:p w14:paraId="5FE94BAA" w14:textId="67AC5277" w:rsidR="00031810" w:rsidRDefault="00031810" w:rsidP="00523E95">
            <w:pPr>
              <w:keepNext/>
              <w:keepLines/>
              <w:spacing w:before="0" w:after="0" w:line="240" w:lineRule="auto"/>
              <w:jc w:val="center"/>
              <w:rPr>
                <w:rFonts w:eastAsia="Times New Roman" w:cs="Times New Roman"/>
                <w:b/>
                <w:sz w:val="20"/>
                <w:szCs w:val="20"/>
              </w:rPr>
            </w:pPr>
            <w:r>
              <w:rPr>
                <w:rFonts w:eastAsia="Times New Roman" w:cs="Times New Roman"/>
                <w:b/>
                <w:sz w:val="20"/>
                <w:szCs w:val="20"/>
              </w:rPr>
              <w:t>Source</w:t>
            </w:r>
          </w:p>
        </w:tc>
      </w:tr>
      <w:tr w:rsidR="00031810" w:rsidRPr="00BC4F93" w14:paraId="7F46F3A7" w14:textId="1408918D" w:rsidTr="002730A8">
        <w:trPr>
          <w:trHeight w:val="260"/>
        </w:trPr>
        <w:tc>
          <w:tcPr>
            <w:tcW w:w="2065" w:type="dxa"/>
            <w:shd w:val="clear" w:color="auto" w:fill="FFFFFF" w:themeFill="background1"/>
            <w:noWrap/>
            <w:vAlign w:val="center"/>
          </w:tcPr>
          <w:p w14:paraId="3F72B9C0" w14:textId="5E1722EF" w:rsidR="00031810" w:rsidRPr="00031810" w:rsidRDefault="00031810" w:rsidP="00031810">
            <w:pPr>
              <w:keepNext/>
              <w:keepLines/>
              <w:spacing w:before="0" w:after="0" w:line="240" w:lineRule="auto"/>
              <w:rPr>
                <w:rFonts w:eastAsia="Times New Roman" w:cs="Times New Roman"/>
                <w:sz w:val="20"/>
                <w:szCs w:val="20"/>
              </w:rPr>
            </w:pPr>
            <w:r w:rsidRPr="00031810">
              <w:rPr>
                <w:rFonts w:eastAsia="Times New Roman" w:cs="Times New Roman"/>
                <w:sz w:val="20"/>
                <w:szCs w:val="20"/>
              </w:rPr>
              <w:t>Portion of Total Sink Water Usage</w:t>
            </w:r>
          </w:p>
        </w:tc>
        <w:tc>
          <w:tcPr>
            <w:tcW w:w="1350" w:type="dxa"/>
            <w:shd w:val="clear" w:color="auto" w:fill="FFFFFF" w:themeFill="background1"/>
            <w:noWrap/>
            <w:vAlign w:val="center"/>
          </w:tcPr>
          <w:p w14:paraId="2F4CC1EF" w14:textId="77777777" w:rsidR="00031810" w:rsidRPr="00651B0E" w:rsidRDefault="00031810" w:rsidP="002730A8">
            <w:pPr>
              <w:keepNext/>
              <w:keepLines/>
              <w:spacing w:before="0" w:after="0" w:line="240" w:lineRule="auto"/>
              <w:ind w:right="156"/>
              <w:jc w:val="right"/>
              <w:rPr>
                <w:rFonts w:eastAsia="Times New Roman" w:cs="Times New Roman"/>
                <w:sz w:val="20"/>
                <w:szCs w:val="20"/>
              </w:rPr>
            </w:pPr>
            <w:r>
              <w:rPr>
                <w:rFonts w:eastAsia="Times New Roman" w:cs="Times New Roman"/>
                <w:sz w:val="20"/>
                <w:szCs w:val="20"/>
              </w:rPr>
              <w:t>0.55</w:t>
            </w:r>
          </w:p>
        </w:tc>
        <w:tc>
          <w:tcPr>
            <w:tcW w:w="1350" w:type="dxa"/>
            <w:shd w:val="clear" w:color="auto" w:fill="FFFFFF" w:themeFill="background1"/>
            <w:noWrap/>
            <w:vAlign w:val="center"/>
          </w:tcPr>
          <w:p w14:paraId="2EB8B6BB" w14:textId="29EA8B9A" w:rsidR="00031810" w:rsidRPr="00BC4F93" w:rsidRDefault="00031810" w:rsidP="002730A8">
            <w:pPr>
              <w:keepNext/>
              <w:keepLines/>
              <w:spacing w:before="0" w:after="0" w:line="240" w:lineRule="auto"/>
              <w:ind w:right="156"/>
              <w:jc w:val="right"/>
              <w:rPr>
                <w:rFonts w:eastAsia="Times New Roman" w:cs="Times New Roman"/>
                <w:sz w:val="20"/>
                <w:szCs w:val="20"/>
              </w:rPr>
            </w:pPr>
            <w:r>
              <w:rPr>
                <w:rFonts w:eastAsia="Times New Roman" w:cs="Times New Roman"/>
                <w:sz w:val="20"/>
                <w:szCs w:val="20"/>
              </w:rPr>
              <w:t>0.45</w:t>
            </w:r>
          </w:p>
        </w:tc>
        <w:tc>
          <w:tcPr>
            <w:tcW w:w="4451" w:type="dxa"/>
            <w:shd w:val="clear" w:color="auto" w:fill="FFFFFF" w:themeFill="background1"/>
          </w:tcPr>
          <w:p w14:paraId="27C48B11" w14:textId="218AF101" w:rsidR="00031810" w:rsidRDefault="0004513F" w:rsidP="00E93B25">
            <w:pPr>
              <w:keepNext/>
              <w:keepLines/>
              <w:spacing w:before="0" w:after="0" w:line="240" w:lineRule="auto"/>
              <w:ind w:right="605"/>
              <w:rPr>
                <w:rFonts w:eastAsia="Times New Roman" w:cs="Times New Roman"/>
                <w:sz w:val="20"/>
                <w:szCs w:val="20"/>
              </w:rPr>
            </w:pPr>
            <w:r w:rsidRPr="00247D11">
              <w:rPr>
                <w:sz w:val="18"/>
                <w:szCs w:val="18"/>
              </w:rPr>
              <w:t>Sempra Energy Utilities (SEU). 2012.</w:t>
            </w:r>
            <w:r w:rsidR="005A7243">
              <w:rPr>
                <w:sz w:val="18"/>
                <w:szCs w:val="18"/>
              </w:rPr>
              <w:t xml:space="preserve"> “</w:t>
            </w:r>
            <w:r>
              <w:rPr>
                <w:sz w:val="18"/>
                <w:szCs w:val="18"/>
              </w:rPr>
              <w:t>SEU 2009</w:t>
            </w:r>
            <w:r w:rsidRPr="00247D11">
              <w:rPr>
                <w:sz w:val="18"/>
                <w:szCs w:val="18"/>
              </w:rPr>
              <w:t xml:space="preserve"> ASW Data REDACTED.xlsx”.</w:t>
            </w:r>
          </w:p>
        </w:tc>
      </w:tr>
      <w:tr w:rsidR="00031810" w:rsidRPr="00BC4F93" w14:paraId="3498FE6C" w14:textId="3A17D189" w:rsidTr="002730A8">
        <w:trPr>
          <w:trHeight w:val="260"/>
        </w:trPr>
        <w:tc>
          <w:tcPr>
            <w:tcW w:w="2065" w:type="dxa"/>
            <w:shd w:val="clear" w:color="auto" w:fill="FFFFFF" w:themeFill="background1"/>
            <w:noWrap/>
            <w:vAlign w:val="center"/>
          </w:tcPr>
          <w:p w14:paraId="5FFE580F" w14:textId="6F469C84" w:rsidR="00031810" w:rsidRPr="00031810" w:rsidRDefault="00031810" w:rsidP="00031810">
            <w:pPr>
              <w:keepNext/>
              <w:keepLines/>
              <w:spacing w:before="0" w:after="0" w:line="240" w:lineRule="auto"/>
              <w:rPr>
                <w:rFonts w:eastAsia="Times New Roman" w:cs="Times New Roman"/>
                <w:sz w:val="20"/>
                <w:szCs w:val="20"/>
              </w:rPr>
            </w:pPr>
            <w:r w:rsidRPr="00031810">
              <w:rPr>
                <w:rFonts w:eastAsia="Times New Roman" w:cs="Times New Roman"/>
                <w:sz w:val="20"/>
                <w:szCs w:val="20"/>
              </w:rPr>
              <w:t>Number of Faucets per Household</w:t>
            </w:r>
          </w:p>
        </w:tc>
        <w:tc>
          <w:tcPr>
            <w:tcW w:w="1350" w:type="dxa"/>
            <w:shd w:val="clear" w:color="auto" w:fill="FFFFFF" w:themeFill="background1"/>
            <w:noWrap/>
            <w:vAlign w:val="center"/>
          </w:tcPr>
          <w:p w14:paraId="3B85242C" w14:textId="2759622F" w:rsidR="00031810" w:rsidRPr="00651B0E" w:rsidRDefault="00031810" w:rsidP="002730A8">
            <w:pPr>
              <w:keepNext/>
              <w:keepLines/>
              <w:spacing w:before="0" w:after="0" w:line="240" w:lineRule="auto"/>
              <w:ind w:right="156"/>
              <w:jc w:val="right"/>
              <w:rPr>
                <w:rFonts w:eastAsia="Times New Roman" w:cs="Times New Roman"/>
                <w:sz w:val="20"/>
                <w:szCs w:val="20"/>
              </w:rPr>
            </w:pPr>
            <w:r>
              <w:rPr>
                <w:rFonts w:eastAsia="Times New Roman" w:cs="Times New Roman"/>
                <w:sz w:val="20"/>
                <w:szCs w:val="20"/>
              </w:rPr>
              <w:t>1.0</w:t>
            </w:r>
          </w:p>
        </w:tc>
        <w:tc>
          <w:tcPr>
            <w:tcW w:w="1350" w:type="dxa"/>
            <w:shd w:val="clear" w:color="auto" w:fill="FFFFFF" w:themeFill="background1"/>
            <w:noWrap/>
            <w:vAlign w:val="center"/>
          </w:tcPr>
          <w:p w14:paraId="7DC974F6" w14:textId="77777777" w:rsidR="00031810" w:rsidRPr="00BC4F93" w:rsidRDefault="00031810" w:rsidP="002730A8">
            <w:pPr>
              <w:keepNext/>
              <w:keepLines/>
              <w:spacing w:before="0" w:after="0" w:line="240" w:lineRule="auto"/>
              <w:ind w:right="156"/>
              <w:jc w:val="right"/>
              <w:rPr>
                <w:rFonts w:eastAsia="Times New Roman" w:cs="Times New Roman"/>
                <w:sz w:val="20"/>
                <w:szCs w:val="20"/>
              </w:rPr>
            </w:pPr>
            <w:r>
              <w:rPr>
                <w:rFonts w:eastAsia="Times New Roman" w:cs="Times New Roman"/>
                <w:sz w:val="20"/>
                <w:szCs w:val="20"/>
              </w:rPr>
              <w:t>2.9</w:t>
            </w:r>
          </w:p>
        </w:tc>
        <w:tc>
          <w:tcPr>
            <w:tcW w:w="4451" w:type="dxa"/>
            <w:shd w:val="clear" w:color="auto" w:fill="FFFFFF" w:themeFill="background1"/>
            <w:vAlign w:val="center"/>
          </w:tcPr>
          <w:p w14:paraId="76175E13" w14:textId="024DE048" w:rsidR="00031810" w:rsidRPr="00D50CE5" w:rsidRDefault="00031810" w:rsidP="00031810">
            <w:pPr>
              <w:keepNext/>
              <w:keepLines/>
              <w:spacing w:before="0" w:after="0" w:line="240" w:lineRule="auto"/>
              <w:rPr>
                <w:sz w:val="18"/>
                <w:szCs w:val="18"/>
              </w:rPr>
            </w:pPr>
            <w:r w:rsidRPr="007D5AD5">
              <w:rPr>
                <w:sz w:val="18"/>
                <w:szCs w:val="18"/>
              </w:rPr>
              <w:t>Sempra Energy Utilities (SEU). 2012. “SEU 2009 ASW Data REDACTED.xlsx”.</w:t>
            </w:r>
          </w:p>
          <w:p w14:paraId="00A1E2BB" w14:textId="77777777" w:rsidR="00523E95" w:rsidRPr="00D50CE5" w:rsidRDefault="00523E95" w:rsidP="00031810">
            <w:pPr>
              <w:keepNext/>
              <w:keepLines/>
              <w:spacing w:before="0" w:after="0" w:line="240" w:lineRule="auto"/>
              <w:rPr>
                <w:sz w:val="18"/>
                <w:szCs w:val="18"/>
              </w:rPr>
            </w:pPr>
          </w:p>
          <w:p w14:paraId="3ECE3DC0" w14:textId="67E15A6C" w:rsidR="00031810" w:rsidRPr="007D5AD5" w:rsidRDefault="00523E95" w:rsidP="00031810">
            <w:pPr>
              <w:keepNext/>
              <w:keepLines/>
              <w:spacing w:before="0" w:after="0" w:line="240" w:lineRule="auto"/>
              <w:rPr>
                <w:rFonts w:eastAsia="Times New Roman" w:cs="Times New Roman"/>
                <w:sz w:val="18"/>
                <w:szCs w:val="20"/>
              </w:rPr>
            </w:pPr>
            <w:r w:rsidRPr="00D50CE5">
              <w:rPr>
                <w:sz w:val="18"/>
              </w:rPr>
              <w:t xml:space="preserve">California Public Utilities Commission (CPUC), Energy Division. 2013. </w:t>
            </w:r>
            <w:r w:rsidR="00EA3C5A" w:rsidRPr="00D50CE5">
              <w:rPr>
                <w:sz w:val="18"/>
              </w:rPr>
              <w:t>“</w:t>
            </w:r>
            <w:r w:rsidRPr="00D50CE5">
              <w:rPr>
                <w:iCs/>
                <w:sz w:val="18"/>
              </w:rPr>
              <w:t>Workpaper Disposition for Water Fixtures</w:t>
            </w:r>
            <w:r w:rsidRPr="007D5AD5">
              <w:rPr>
                <w:iCs/>
                <w:sz w:val="18"/>
              </w:rPr>
              <w:t>.</w:t>
            </w:r>
            <w:r w:rsidR="00EA3C5A" w:rsidRPr="007D5AD5">
              <w:rPr>
                <w:iCs/>
                <w:sz w:val="18"/>
              </w:rPr>
              <w:t>”</w:t>
            </w:r>
            <w:r w:rsidRPr="007D5AD5">
              <w:rPr>
                <w:iCs/>
                <w:sz w:val="18"/>
              </w:rPr>
              <w:t xml:space="preserve"> </w:t>
            </w:r>
            <w:r w:rsidRPr="007D5AD5">
              <w:rPr>
                <w:sz w:val="18"/>
              </w:rPr>
              <w:t>February 22.</w:t>
            </w:r>
          </w:p>
        </w:tc>
      </w:tr>
    </w:tbl>
    <w:p w14:paraId="68805F32" w14:textId="77777777" w:rsidR="00031810" w:rsidRDefault="00031810" w:rsidP="00E730CF"/>
    <w:p w14:paraId="7904D350" w14:textId="493B32F6" w:rsidR="006F3B71" w:rsidRPr="00C54FBB" w:rsidRDefault="006F3B71" w:rsidP="006F3B71">
      <w:r w:rsidRPr="00C54FBB">
        <w:rPr>
          <w:b/>
        </w:rPr>
        <w:t>Number of Faucets per Household.</w:t>
      </w:r>
      <w:r w:rsidRPr="00C54FBB">
        <w:t xml:space="preserve"> The number of faucets per household</w:t>
      </w:r>
      <w:r w:rsidR="00951406" w:rsidRPr="00C54FBB">
        <w:t xml:space="preserve"> (specified in the previous table)</w:t>
      </w:r>
      <w:r w:rsidRPr="00C54FBB">
        <w:t xml:space="preserve"> were derived from survey results for SCG and SDG&amp;E utilized in calculations included in the 2013 CPUC disposition. The survey data specified the number of lavatories and kitchens in a household. There was no breakdown between single-family and multifamily residence types in the survey data; thus, identical values for the number of kitchen and lavatory faucet aerators are used for all residence types.</w:t>
      </w:r>
    </w:p>
    <w:p w14:paraId="6085AFEA" w14:textId="319F05C6" w:rsidR="00E730CF" w:rsidRDefault="00951406" w:rsidP="00E730CF">
      <w:r w:rsidRPr="00031810">
        <w:rPr>
          <w:b/>
        </w:rPr>
        <w:t>Water Us</w:t>
      </w:r>
      <w:r w:rsidR="00031810" w:rsidRPr="00031810">
        <w:rPr>
          <w:b/>
        </w:rPr>
        <w:t>age per Day.</w:t>
      </w:r>
      <w:r w:rsidR="00031810">
        <w:t xml:space="preserve"> </w:t>
      </w:r>
      <w:r w:rsidR="00E730CF">
        <w:t>The water usage</w:t>
      </w:r>
      <w:r>
        <w:t xml:space="preserve"> (gallons per day)</w:t>
      </w:r>
      <w:r w:rsidR="00E730CF">
        <w:t xml:space="preserve"> for each faucet type was divided by the appropriate base case flow rate to derive the average minutes </w:t>
      </w:r>
      <w:r w:rsidR="006F3B71">
        <w:t xml:space="preserve">average </w:t>
      </w:r>
      <w:r w:rsidR="00E730CF">
        <w:t xml:space="preserve">per day of expected faucet use. </w:t>
      </w:r>
      <w:r w:rsidR="00B04730">
        <w:t xml:space="preserve">This methodology </w:t>
      </w:r>
      <w:r w:rsidR="00286348">
        <w:t>estimates</w:t>
      </w:r>
      <w:r w:rsidR="00B04730">
        <w:t xml:space="preserve"> faucet </w:t>
      </w:r>
      <w:r>
        <w:t>use time</w:t>
      </w:r>
      <w:r w:rsidR="00B04730">
        <w:t xml:space="preserve"> in minutes per day that is constant and varies only by </w:t>
      </w:r>
      <w:r w:rsidR="006F3B71">
        <w:t>building</w:t>
      </w:r>
      <w:r w:rsidR="00B04730">
        <w:t xml:space="preserve"> type. </w:t>
      </w:r>
      <w:r w:rsidR="00B40B5B">
        <w:t>The</w:t>
      </w:r>
      <w:r w:rsidR="00B04730">
        <w:t xml:space="preserve"> assumption </w:t>
      </w:r>
      <w:r w:rsidR="00286348">
        <w:t>of</w:t>
      </w:r>
      <w:r w:rsidR="00B04730">
        <w:t xml:space="preserve"> the minutes per day </w:t>
      </w:r>
      <w:r w:rsidR="00876E5E">
        <w:t xml:space="preserve">that </w:t>
      </w:r>
      <w:r w:rsidR="00B04730">
        <w:t xml:space="preserve">a faucet is used does not change </w:t>
      </w:r>
      <w:r w:rsidR="00B40B5B">
        <w:t xml:space="preserve">between the base case and measure case </w:t>
      </w:r>
      <w:r w:rsidR="00B04730">
        <w:t>means that a reduction in the faucet flow rate will reduce water usage.</w:t>
      </w:r>
      <w:bookmarkEnd w:id="75"/>
    </w:p>
    <w:p w14:paraId="7C4264EB" w14:textId="7F948001" w:rsidR="00DB79BE" w:rsidRDefault="006F3B71" w:rsidP="006F3B71">
      <w:pPr>
        <w:pStyle w:val="Caption"/>
      </w:pPr>
      <w:r>
        <w:t>Water Use Assumptions, by Building Type</w:t>
      </w:r>
    </w:p>
    <w:tbl>
      <w:tblPr>
        <w:tblW w:w="89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2785"/>
        <w:gridCol w:w="1440"/>
        <w:gridCol w:w="1440"/>
        <w:gridCol w:w="3330"/>
      </w:tblGrid>
      <w:tr w:rsidR="006F3B71" w:rsidRPr="00BC4F93" w14:paraId="41A52AB1" w14:textId="550F7BC3" w:rsidTr="00031810">
        <w:trPr>
          <w:trHeight w:val="260"/>
        </w:trPr>
        <w:tc>
          <w:tcPr>
            <w:tcW w:w="2785" w:type="dxa"/>
            <w:shd w:val="clear" w:color="auto" w:fill="F2F2F2" w:themeFill="background1" w:themeFillShade="F2"/>
            <w:noWrap/>
            <w:vAlign w:val="bottom"/>
          </w:tcPr>
          <w:p w14:paraId="65486CFE" w14:textId="0943D984" w:rsidR="006F3B71" w:rsidRPr="00651B0E" w:rsidRDefault="006F3B71" w:rsidP="00031810">
            <w:pPr>
              <w:keepNext/>
              <w:keepLines/>
              <w:spacing w:before="0" w:after="0" w:line="240" w:lineRule="auto"/>
              <w:rPr>
                <w:rFonts w:eastAsia="Times New Roman" w:cs="Times New Roman"/>
                <w:b/>
                <w:sz w:val="20"/>
                <w:szCs w:val="20"/>
              </w:rPr>
            </w:pPr>
            <w:r>
              <w:rPr>
                <w:rFonts w:eastAsia="Times New Roman" w:cs="Times New Roman"/>
                <w:b/>
                <w:sz w:val="20"/>
                <w:szCs w:val="20"/>
              </w:rPr>
              <w:t>Parameter</w:t>
            </w:r>
          </w:p>
        </w:tc>
        <w:tc>
          <w:tcPr>
            <w:tcW w:w="1440" w:type="dxa"/>
            <w:shd w:val="clear" w:color="auto" w:fill="F2F2F2" w:themeFill="background1" w:themeFillShade="F2"/>
            <w:noWrap/>
            <w:vAlign w:val="bottom"/>
          </w:tcPr>
          <w:p w14:paraId="268A443C" w14:textId="4DCEC01B" w:rsidR="006F3B71" w:rsidRPr="00651B0E" w:rsidRDefault="006F3B71" w:rsidP="00031810">
            <w:pPr>
              <w:keepNext/>
              <w:keepLines/>
              <w:spacing w:before="0" w:after="0" w:line="240" w:lineRule="auto"/>
              <w:jc w:val="center"/>
              <w:rPr>
                <w:rFonts w:eastAsia="Times New Roman" w:cs="Times New Roman"/>
                <w:b/>
                <w:sz w:val="20"/>
                <w:szCs w:val="20"/>
              </w:rPr>
            </w:pPr>
            <w:r>
              <w:rPr>
                <w:rFonts w:eastAsia="Times New Roman" w:cs="Times New Roman"/>
                <w:b/>
                <w:sz w:val="20"/>
                <w:szCs w:val="20"/>
              </w:rPr>
              <w:t>Single Family</w:t>
            </w:r>
          </w:p>
        </w:tc>
        <w:tc>
          <w:tcPr>
            <w:tcW w:w="1440" w:type="dxa"/>
            <w:shd w:val="clear" w:color="auto" w:fill="F2F2F2" w:themeFill="background1" w:themeFillShade="F2"/>
            <w:noWrap/>
            <w:vAlign w:val="bottom"/>
          </w:tcPr>
          <w:p w14:paraId="21688438" w14:textId="6FF661DA" w:rsidR="006F3B71" w:rsidRPr="00BC4F93" w:rsidRDefault="006F3B71" w:rsidP="00031810">
            <w:pPr>
              <w:keepNext/>
              <w:keepLines/>
              <w:spacing w:before="0" w:after="0" w:line="240" w:lineRule="auto"/>
              <w:jc w:val="center"/>
              <w:rPr>
                <w:rFonts w:eastAsia="Times New Roman" w:cs="Times New Roman"/>
                <w:b/>
                <w:sz w:val="20"/>
                <w:szCs w:val="20"/>
              </w:rPr>
            </w:pPr>
            <w:r w:rsidRPr="00BC4F93">
              <w:rPr>
                <w:rFonts w:eastAsia="Times New Roman" w:cs="Times New Roman"/>
                <w:b/>
                <w:sz w:val="20"/>
                <w:szCs w:val="20"/>
              </w:rPr>
              <w:t xml:space="preserve">Multifamily / </w:t>
            </w:r>
            <w:r>
              <w:rPr>
                <w:rFonts w:eastAsia="Times New Roman" w:cs="Times New Roman"/>
                <w:b/>
                <w:sz w:val="20"/>
                <w:szCs w:val="20"/>
              </w:rPr>
              <w:br/>
            </w:r>
            <w:r w:rsidRPr="00BC4F93">
              <w:rPr>
                <w:rFonts w:eastAsia="Times New Roman" w:cs="Times New Roman"/>
                <w:b/>
                <w:sz w:val="20"/>
                <w:szCs w:val="20"/>
              </w:rPr>
              <w:t>Mobile Home</w:t>
            </w:r>
          </w:p>
        </w:tc>
        <w:tc>
          <w:tcPr>
            <w:tcW w:w="3330" w:type="dxa"/>
            <w:shd w:val="clear" w:color="auto" w:fill="F2F2F2" w:themeFill="background1" w:themeFillShade="F2"/>
            <w:vAlign w:val="bottom"/>
          </w:tcPr>
          <w:p w14:paraId="4E0BD59C" w14:textId="286AD923" w:rsidR="006F3B71" w:rsidRPr="00BC4F93" w:rsidRDefault="006F3B71" w:rsidP="00031810">
            <w:pPr>
              <w:keepNext/>
              <w:keepLines/>
              <w:spacing w:before="0" w:after="0" w:line="240" w:lineRule="auto"/>
              <w:jc w:val="center"/>
              <w:rPr>
                <w:rFonts w:eastAsia="Times New Roman" w:cs="Times New Roman"/>
                <w:b/>
                <w:sz w:val="20"/>
                <w:szCs w:val="20"/>
              </w:rPr>
            </w:pPr>
            <w:r>
              <w:rPr>
                <w:rFonts w:eastAsia="Times New Roman" w:cs="Times New Roman"/>
                <w:b/>
                <w:sz w:val="20"/>
                <w:szCs w:val="20"/>
              </w:rPr>
              <w:t>Source</w:t>
            </w:r>
          </w:p>
        </w:tc>
      </w:tr>
      <w:tr w:rsidR="0004513F" w:rsidRPr="009C3D9D" w14:paraId="5DF1EF0A" w14:textId="370E9F7C" w:rsidTr="006F3B71">
        <w:trPr>
          <w:trHeight w:val="260"/>
        </w:trPr>
        <w:tc>
          <w:tcPr>
            <w:tcW w:w="2785" w:type="dxa"/>
            <w:shd w:val="clear" w:color="auto" w:fill="FFFFFF" w:themeFill="background1"/>
            <w:noWrap/>
            <w:vAlign w:val="center"/>
          </w:tcPr>
          <w:p w14:paraId="786393AD" w14:textId="6272D583" w:rsidR="0004513F" w:rsidRPr="009C3D9D" w:rsidRDefault="0004513F" w:rsidP="00523E95">
            <w:pPr>
              <w:keepNext/>
              <w:keepLines/>
              <w:spacing w:before="0" w:after="0" w:line="240" w:lineRule="auto"/>
              <w:rPr>
                <w:rFonts w:eastAsia="Times New Roman" w:cs="Times New Roman"/>
                <w:sz w:val="20"/>
                <w:szCs w:val="20"/>
              </w:rPr>
            </w:pPr>
            <w:r w:rsidRPr="009C3D9D">
              <w:rPr>
                <w:rFonts w:eastAsia="Times New Roman" w:cs="Times New Roman"/>
                <w:sz w:val="20"/>
                <w:szCs w:val="20"/>
              </w:rPr>
              <w:t xml:space="preserve">Water usage @ 2.25 </w:t>
            </w:r>
            <w:proofErr w:type="spellStart"/>
            <w:r w:rsidRPr="009C3D9D">
              <w:rPr>
                <w:rFonts w:eastAsia="Times New Roman" w:cs="Times New Roman"/>
                <w:sz w:val="20"/>
                <w:szCs w:val="20"/>
              </w:rPr>
              <w:t>gpm</w:t>
            </w:r>
            <w:proofErr w:type="spellEnd"/>
            <w:r w:rsidRPr="009C3D9D">
              <w:rPr>
                <w:rFonts w:eastAsia="Times New Roman" w:cs="Times New Roman"/>
                <w:sz w:val="20"/>
                <w:szCs w:val="20"/>
              </w:rPr>
              <w:t xml:space="preserve"> (gal/day)</w:t>
            </w:r>
          </w:p>
        </w:tc>
        <w:tc>
          <w:tcPr>
            <w:tcW w:w="1440" w:type="dxa"/>
            <w:shd w:val="clear" w:color="auto" w:fill="FFFFFF" w:themeFill="background1"/>
            <w:noWrap/>
            <w:vAlign w:val="center"/>
          </w:tcPr>
          <w:p w14:paraId="1F2549B6" w14:textId="44D92D64" w:rsidR="0004513F" w:rsidRPr="009C3D9D" w:rsidRDefault="0004513F" w:rsidP="006F3B71">
            <w:pPr>
              <w:keepNext/>
              <w:keepLines/>
              <w:spacing w:before="0" w:after="0" w:line="240" w:lineRule="auto"/>
              <w:jc w:val="right"/>
              <w:rPr>
                <w:rFonts w:eastAsia="Times New Roman" w:cs="Times New Roman"/>
                <w:sz w:val="20"/>
                <w:szCs w:val="20"/>
              </w:rPr>
            </w:pPr>
            <w:r w:rsidRPr="009C3D9D">
              <w:rPr>
                <w:rFonts w:eastAsia="Times New Roman" w:cs="Times New Roman"/>
                <w:sz w:val="20"/>
                <w:szCs w:val="20"/>
              </w:rPr>
              <w:t>25.0</w:t>
            </w:r>
          </w:p>
        </w:tc>
        <w:tc>
          <w:tcPr>
            <w:tcW w:w="1440" w:type="dxa"/>
            <w:shd w:val="clear" w:color="auto" w:fill="FFFFFF" w:themeFill="background1"/>
            <w:noWrap/>
            <w:vAlign w:val="center"/>
          </w:tcPr>
          <w:p w14:paraId="74899A50" w14:textId="6D8C891D" w:rsidR="0004513F" w:rsidRPr="009C3D9D" w:rsidRDefault="0004513F" w:rsidP="006F3B71">
            <w:pPr>
              <w:keepNext/>
              <w:keepLines/>
              <w:spacing w:before="0" w:after="0" w:line="240" w:lineRule="auto"/>
              <w:jc w:val="right"/>
              <w:rPr>
                <w:rFonts w:eastAsia="Times New Roman" w:cs="Times New Roman"/>
                <w:sz w:val="20"/>
                <w:szCs w:val="20"/>
              </w:rPr>
            </w:pPr>
            <w:r w:rsidRPr="009C3D9D">
              <w:rPr>
                <w:rFonts w:eastAsia="Times New Roman" w:cs="Times New Roman"/>
                <w:sz w:val="20"/>
                <w:szCs w:val="20"/>
              </w:rPr>
              <w:t>20.8</w:t>
            </w:r>
          </w:p>
        </w:tc>
        <w:tc>
          <w:tcPr>
            <w:tcW w:w="3330" w:type="dxa"/>
            <w:vMerge w:val="restart"/>
            <w:shd w:val="clear" w:color="auto" w:fill="FFFFFF" w:themeFill="background1"/>
          </w:tcPr>
          <w:p w14:paraId="47091B68" w14:textId="2E624F02" w:rsidR="0004513F" w:rsidRPr="009C3D9D" w:rsidRDefault="0004513F" w:rsidP="00523E95">
            <w:pPr>
              <w:keepNext/>
              <w:keepLines/>
              <w:spacing w:before="0" w:after="0" w:line="240" w:lineRule="auto"/>
              <w:rPr>
                <w:rFonts w:eastAsia="Times New Roman" w:cs="Times New Roman"/>
                <w:sz w:val="20"/>
                <w:szCs w:val="20"/>
              </w:rPr>
            </w:pPr>
            <w:proofErr w:type="spellStart"/>
            <w:r w:rsidRPr="009C3D9D">
              <w:rPr>
                <w:rStyle w:val="eTRMFootnoteTextChar"/>
                <w:szCs w:val="18"/>
              </w:rPr>
              <w:t>Hendron</w:t>
            </w:r>
            <w:proofErr w:type="spellEnd"/>
            <w:r w:rsidRPr="009C3D9D">
              <w:rPr>
                <w:rStyle w:val="eTRMFootnoteTextChar"/>
                <w:szCs w:val="18"/>
              </w:rPr>
              <w:t xml:space="preserve">, R. and C. </w:t>
            </w:r>
            <w:proofErr w:type="spellStart"/>
            <w:r w:rsidRPr="009C3D9D">
              <w:rPr>
                <w:rStyle w:val="eTRMFootnoteTextChar"/>
                <w:szCs w:val="18"/>
              </w:rPr>
              <w:t>Engebrecht</w:t>
            </w:r>
            <w:proofErr w:type="spellEnd"/>
            <w:r w:rsidRPr="009C3D9D">
              <w:rPr>
                <w:rStyle w:val="eTRMFootnoteTextChar"/>
                <w:szCs w:val="18"/>
              </w:rPr>
              <w:t xml:space="preserve">. 2010. </w:t>
            </w:r>
            <w:r w:rsidRPr="009C3D9D">
              <w:rPr>
                <w:rStyle w:val="eTRMFootnoteTextChar"/>
                <w:i/>
                <w:szCs w:val="18"/>
              </w:rPr>
              <w:t>Building America Research Benchmark Definition: Updated December 2009.</w:t>
            </w:r>
            <w:r w:rsidRPr="009C3D9D">
              <w:rPr>
                <w:rStyle w:val="eTRMFootnoteTextChar"/>
                <w:szCs w:val="18"/>
              </w:rPr>
              <w:t xml:space="preserve"> National Renewable Energy Laboratory.  NREL/TP-550-47246.</w:t>
            </w:r>
          </w:p>
        </w:tc>
      </w:tr>
      <w:tr w:rsidR="0004513F" w:rsidRPr="00BC4F93" w14:paraId="49BBFBA4" w14:textId="77777777" w:rsidTr="006F3B71">
        <w:trPr>
          <w:trHeight w:val="260"/>
        </w:trPr>
        <w:tc>
          <w:tcPr>
            <w:tcW w:w="2785" w:type="dxa"/>
            <w:shd w:val="clear" w:color="auto" w:fill="FFFFFF" w:themeFill="background1"/>
            <w:noWrap/>
            <w:vAlign w:val="center"/>
          </w:tcPr>
          <w:p w14:paraId="7E408169" w14:textId="3E3B77B5" w:rsidR="0004513F" w:rsidRPr="009C3D9D" w:rsidRDefault="0004513F" w:rsidP="00523E95">
            <w:pPr>
              <w:keepNext/>
              <w:keepLines/>
              <w:spacing w:before="0" w:after="0" w:line="240" w:lineRule="auto"/>
              <w:rPr>
                <w:rFonts w:eastAsia="Times New Roman" w:cs="Times New Roman"/>
                <w:sz w:val="20"/>
                <w:szCs w:val="20"/>
              </w:rPr>
            </w:pPr>
            <w:r w:rsidRPr="009C3D9D">
              <w:rPr>
                <w:rFonts w:eastAsia="Times New Roman" w:cs="Times New Roman"/>
                <w:sz w:val="20"/>
                <w:szCs w:val="20"/>
              </w:rPr>
              <w:t xml:space="preserve">Water usage @ 2.20 </w:t>
            </w:r>
            <w:proofErr w:type="spellStart"/>
            <w:r w:rsidRPr="009C3D9D">
              <w:rPr>
                <w:rFonts w:eastAsia="Times New Roman" w:cs="Times New Roman"/>
                <w:sz w:val="20"/>
                <w:szCs w:val="20"/>
              </w:rPr>
              <w:t>gpm</w:t>
            </w:r>
            <w:proofErr w:type="spellEnd"/>
            <w:r w:rsidRPr="009C3D9D">
              <w:rPr>
                <w:rFonts w:eastAsia="Times New Roman" w:cs="Times New Roman"/>
                <w:sz w:val="20"/>
                <w:szCs w:val="20"/>
              </w:rPr>
              <w:t xml:space="preserve"> (gal/day)</w:t>
            </w:r>
          </w:p>
        </w:tc>
        <w:tc>
          <w:tcPr>
            <w:tcW w:w="1440" w:type="dxa"/>
            <w:shd w:val="clear" w:color="auto" w:fill="FFFFFF" w:themeFill="background1"/>
            <w:noWrap/>
            <w:vAlign w:val="center"/>
          </w:tcPr>
          <w:p w14:paraId="0BB19F0B" w14:textId="6C9B1FD4" w:rsidR="0004513F" w:rsidRPr="009C3D9D" w:rsidRDefault="0004513F" w:rsidP="006F3B71">
            <w:pPr>
              <w:keepNext/>
              <w:keepLines/>
              <w:spacing w:before="0" w:after="0" w:line="240" w:lineRule="auto"/>
              <w:jc w:val="right"/>
              <w:rPr>
                <w:rFonts w:eastAsia="Times New Roman" w:cs="Times New Roman"/>
                <w:sz w:val="20"/>
                <w:szCs w:val="20"/>
              </w:rPr>
            </w:pPr>
            <w:r w:rsidRPr="009C3D9D">
              <w:rPr>
                <w:rFonts w:eastAsia="Times New Roman" w:cs="Times New Roman"/>
                <w:sz w:val="20"/>
                <w:szCs w:val="20"/>
              </w:rPr>
              <w:t>24.4</w:t>
            </w:r>
          </w:p>
        </w:tc>
        <w:tc>
          <w:tcPr>
            <w:tcW w:w="1440" w:type="dxa"/>
            <w:shd w:val="clear" w:color="auto" w:fill="FFFFFF" w:themeFill="background1"/>
            <w:noWrap/>
            <w:vAlign w:val="center"/>
          </w:tcPr>
          <w:p w14:paraId="382F3340" w14:textId="641AE285" w:rsidR="0004513F" w:rsidRPr="009C3D9D" w:rsidRDefault="0004513F" w:rsidP="006F3B71">
            <w:pPr>
              <w:keepNext/>
              <w:keepLines/>
              <w:spacing w:before="0" w:after="0" w:line="240" w:lineRule="auto"/>
              <w:jc w:val="right"/>
              <w:rPr>
                <w:rFonts w:eastAsia="Times New Roman" w:cs="Times New Roman"/>
                <w:sz w:val="20"/>
                <w:szCs w:val="20"/>
              </w:rPr>
            </w:pPr>
            <w:r w:rsidRPr="009C3D9D">
              <w:rPr>
                <w:rFonts w:eastAsia="Times New Roman" w:cs="Times New Roman"/>
                <w:sz w:val="20"/>
                <w:szCs w:val="20"/>
              </w:rPr>
              <w:t>20.4</w:t>
            </w:r>
          </w:p>
        </w:tc>
        <w:tc>
          <w:tcPr>
            <w:tcW w:w="3330" w:type="dxa"/>
            <w:vMerge/>
            <w:shd w:val="clear" w:color="auto" w:fill="FFFFFF" w:themeFill="background1"/>
          </w:tcPr>
          <w:p w14:paraId="05CDF851" w14:textId="77777777" w:rsidR="0004513F" w:rsidRPr="00BC4F93" w:rsidRDefault="0004513F" w:rsidP="00523E95">
            <w:pPr>
              <w:keepNext/>
              <w:keepLines/>
              <w:spacing w:before="0" w:after="0" w:line="240" w:lineRule="auto"/>
              <w:rPr>
                <w:rFonts w:eastAsia="Times New Roman" w:cs="Times New Roman"/>
                <w:sz w:val="20"/>
                <w:szCs w:val="20"/>
              </w:rPr>
            </w:pPr>
          </w:p>
        </w:tc>
      </w:tr>
      <w:tr w:rsidR="006F3B71" w:rsidRPr="00BC4F93" w14:paraId="00BA7B1C" w14:textId="436D49EF" w:rsidTr="006F3B71">
        <w:trPr>
          <w:trHeight w:val="260"/>
        </w:trPr>
        <w:tc>
          <w:tcPr>
            <w:tcW w:w="2785" w:type="dxa"/>
            <w:shd w:val="clear" w:color="auto" w:fill="FFFFFF" w:themeFill="background1"/>
            <w:noWrap/>
            <w:vAlign w:val="center"/>
          </w:tcPr>
          <w:p w14:paraId="256C35C4" w14:textId="08DC0665" w:rsidR="006F3B71" w:rsidRPr="00651B0E" w:rsidRDefault="006F3B71" w:rsidP="00523E95">
            <w:pPr>
              <w:keepNext/>
              <w:keepLines/>
              <w:spacing w:before="0" w:after="0" w:line="240" w:lineRule="auto"/>
              <w:rPr>
                <w:rFonts w:eastAsia="Times New Roman" w:cs="Times New Roman"/>
                <w:sz w:val="20"/>
                <w:szCs w:val="20"/>
              </w:rPr>
            </w:pPr>
            <w:r>
              <w:rPr>
                <w:rFonts w:eastAsia="Times New Roman" w:cs="Times New Roman"/>
                <w:sz w:val="20"/>
                <w:szCs w:val="20"/>
              </w:rPr>
              <w:t>Annual operating days (days/</w:t>
            </w:r>
            <w:proofErr w:type="spellStart"/>
            <w:r>
              <w:rPr>
                <w:rFonts w:eastAsia="Times New Roman" w:cs="Times New Roman"/>
                <w:sz w:val="20"/>
                <w:szCs w:val="20"/>
              </w:rPr>
              <w:t>yr</w:t>
            </w:r>
            <w:proofErr w:type="spellEnd"/>
            <w:r w:rsidR="00C03602">
              <w:rPr>
                <w:rFonts w:eastAsia="Times New Roman" w:cs="Times New Roman"/>
                <w:sz w:val="20"/>
                <w:szCs w:val="20"/>
              </w:rPr>
              <w:t>)</w:t>
            </w:r>
          </w:p>
        </w:tc>
        <w:tc>
          <w:tcPr>
            <w:tcW w:w="1440" w:type="dxa"/>
            <w:shd w:val="clear" w:color="auto" w:fill="FFFFFF" w:themeFill="background1"/>
            <w:noWrap/>
            <w:vAlign w:val="center"/>
          </w:tcPr>
          <w:p w14:paraId="43575F98" w14:textId="32900004" w:rsidR="006F3B71" w:rsidRPr="00651B0E" w:rsidRDefault="006F3B71" w:rsidP="006F3B71">
            <w:pPr>
              <w:keepNext/>
              <w:keepLines/>
              <w:spacing w:before="0" w:after="0" w:line="240" w:lineRule="auto"/>
              <w:jc w:val="right"/>
              <w:rPr>
                <w:rFonts w:eastAsia="Times New Roman" w:cs="Times New Roman"/>
                <w:sz w:val="20"/>
                <w:szCs w:val="20"/>
              </w:rPr>
            </w:pPr>
            <w:r>
              <w:rPr>
                <w:rFonts w:eastAsia="Times New Roman" w:cs="Times New Roman"/>
                <w:sz w:val="20"/>
                <w:szCs w:val="20"/>
              </w:rPr>
              <w:t>365</w:t>
            </w:r>
          </w:p>
        </w:tc>
        <w:tc>
          <w:tcPr>
            <w:tcW w:w="1440" w:type="dxa"/>
            <w:shd w:val="clear" w:color="auto" w:fill="FFFFFF" w:themeFill="background1"/>
            <w:noWrap/>
            <w:vAlign w:val="center"/>
          </w:tcPr>
          <w:p w14:paraId="09FB1753" w14:textId="2610DCE1" w:rsidR="006F3B71" w:rsidRPr="00BC4F93" w:rsidRDefault="006F3B71" w:rsidP="006F3B71">
            <w:pPr>
              <w:keepNext/>
              <w:keepLines/>
              <w:spacing w:before="0" w:after="0" w:line="240" w:lineRule="auto"/>
              <w:jc w:val="right"/>
              <w:rPr>
                <w:rFonts w:eastAsia="Times New Roman" w:cs="Times New Roman"/>
                <w:sz w:val="20"/>
                <w:szCs w:val="20"/>
              </w:rPr>
            </w:pPr>
            <w:r>
              <w:rPr>
                <w:rFonts w:eastAsia="Times New Roman" w:cs="Times New Roman"/>
                <w:sz w:val="20"/>
                <w:szCs w:val="20"/>
              </w:rPr>
              <w:t>365</w:t>
            </w:r>
          </w:p>
        </w:tc>
        <w:tc>
          <w:tcPr>
            <w:tcW w:w="3330" w:type="dxa"/>
            <w:shd w:val="clear" w:color="auto" w:fill="FFFFFF" w:themeFill="background1"/>
          </w:tcPr>
          <w:p w14:paraId="52BA37E8" w14:textId="65AE43B0" w:rsidR="006F3B71" w:rsidRPr="00031810" w:rsidRDefault="00031810" w:rsidP="00031810">
            <w:pPr>
              <w:keepNext/>
              <w:keepLines/>
              <w:spacing w:before="0" w:after="0" w:line="240" w:lineRule="auto"/>
              <w:rPr>
                <w:rFonts w:eastAsia="Times New Roman" w:cs="Times New Roman"/>
                <w:sz w:val="18"/>
                <w:szCs w:val="20"/>
              </w:rPr>
            </w:pPr>
            <w:r w:rsidRPr="00031810">
              <w:rPr>
                <w:rFonts w:eastAsia="Times New Roman" w:cs="Times New Roman"/>
                <w:sz w:val="18"/>
                <w:szCs w:val="20"/>
              </w:rPr>
              <w:t>Assumption based on professional judgement</w:t>
            </w:r>
          </w:p>
        </w:tc>
      </w:tr>
    </w:tbl>
    <w:p w14:paraId="240B6C5A" w14:textId="77777777" w:rsidR="006F3B71" w:rsidRDefault="006F3B71" w:rsidP="00E730CF"/>
    <w:p w14:paraId="7FE0D756" w14:textId="4A984078" w:rsidR="00695CBC" w:rsidRDefault="00695CBC" w:rsidP="00C54FBB">
      <w:pPr>
        <w:pStyle w:val="eTRMHeading4"/>
      </w:pPr>
      <w:bookmarkStart w:id="76" w:name="_Hlk511901069"/>
      <w:bookmarkStart w:id="77" w:name="_Hlk511642927"/>
      <w:r>
        <w:t>Calculation of Gas Unit Energy Savings</w:t>
      </w:r>
    </w:p>
    <w:p w14:paraId="4A528254" w14:textId="62AB1B64" w:rsidR="00C432C1" w:rsidRDefault="0061156A" w:rsidP="00C54FBB">
      <w:pPr>
        <w:keepNext/>
        <w:keepLines/>
      </w:pPr>
      <w:bookmarkStart w:id="78" w:name="_Hlk511906671"/>
      <w:bookmarkEnd w:id="76"/>
      <w:r>
        <w:t xml:space="preserve">The </w:t>
      </w:r>
      <w:r w:rsidR="00695CBC">
        <w:t xml:space="preserve">gas </w:t>
      </w:r>
      <w:r>
        <w:t>unit energy s</w:t>
      </w:r>
      <w:r w:rsidRPr="00B20B50">
        <w:t>avings</w:t>
      </w:r>
      <w:r>
        <w:t xml:space="preserve"> (UES)</w:t>
      </w:r>
      <w:r w:rsidRPr="00B20B50">
        <w:t xml:space="preserve"> </w:t>
      </w:r>
      <w:r>
        <w:t>of this measure is</w:t>
      </w:r>
      <w:r w:rsidRPr="00B20B50">
        <w:t xml:space="preserve"> </w:t>
      </w:r>
      <w:r>
        <w:t xml:space="preserve">based upon the estimated decrease in hot water usage as a result of the installation of a </w:t>
      </w:r>
      <w:bookmarkEnd w:id="77"/>
      <w:r>
        <w:t xml:space="preserve">low-flow aerator. </w:t>
      </w:r>
      <w:r w:rsidR="00C432C1">
        <w:t xml:space="preserve">The calculation of </w:t>
      </w:r>
      <w:r>
        <w:t>gas</w:t>
      </w:r>
      <w:r w:rsidR="00C432C1">
        <w:t xml:space="preserve"> UES is represented </w:t>
      </w:r>
      <w:r w:rsidR="00DB79BE">
        <w:t>below, followed by an explanation of the i</w:t>
      </w:r>
      <w:r w:rsidR="00C432C1">
        <w:t>nputs used for this calculation</w:t>
      </w:r>
      <w:r w:rsidR="00DB79BE">
        <w:t>.</w:t>
      </w:r>
      <w:r w:rsidR="00C432C1">
        <w:t xml:space="preserve"> </w:t>
      </w:r>
    </w:p>
    <w:bookmarkStart w:id="79" w:name="_Hlk511642967"/>
    <w:bookmarkStart w:id="80" w:name="_Hlk511643131"/>
    <w:bookmarkStart w:id="81" w:name="_Hlk511906770"/>
    <w:bookmarkEnd w:id="78"/>
    <w:p w14:paraId="7D163297" w14:textId="56CFAA1A" w:rsidR="00C432C1" w:rsidRPr="008560FF" w:rsidRDefault="004F15A9" w:rsidP="00C432C1">
      <w:pPr>
        <w:ind w:left="63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 xml:space="preserve">therms </m:t>
              </m:r>
            </m:sub>
          </m:sSub>
          <m:r>
            <w:rPr>
              <w:rFonts w:ascii="Cambria Math" w:hAnsi="Cambria Math"/>
              <w:sz w:val="18"/>
            </w:rPr>
            <m:t xml:space="preserve">= </m:t>
          </m:r>
          <m:d>
            <m:dPr>
              <m:begChr m:val="["/>
              <m:endChr m:val="]"/>
              <m:ctrlPr>
                <w:rPr>
                  <w:rFonts w:ascii="Cambria Math" w:hAnsi="Cambria Math"/>
                  <w:i/>
                  <w:sz w:val="18"/>
                </w:rPr>
              </m:ctrlPr>
            </m:dPr>
            <m:e>
              <m:f>
                <m:fPr>
                  <m:ctrlPr>
                    <w:rPr>
                      <w:rFonts w:ascii="Cambria Math" w:hAnsi="Cambria Math"/>
                      <w:i/>
                      <w:sz w:val="18"/>
                    </w:rPr>
                  </m:ctrlPr>
                </m:fPr>
                <m:num>
                  <m:r>
                    <w:rPr>
                      <w:rFonts w:ascii="Cambria Math" w:hAnsi="Cambria Math"/>
                      <w:sz w:val="18"/>
                    </w:rPr>
                    <m:t>WS×Cp×WaterWeight×</m:t>
                  </m:r>
                  <m:d>
                    <m:dPr>
                      <m:ctrlPr>
                        <w:rPr>
                          <w:rFonts w:ascii="Cambria Math" w:hAnsi="Cambria Math"/>
                          <w:i/>
                          <w:sz w:val="18"/>
                        </w:rPr>
                      </m:ctrlPr>
                    </m:dPr>
                    <m:e>
                      <m:f>
                        <m:fPr>
                          <m:ctrlPr>
                            <w:rPr>
                              <w:rFonts w:ascii="Cambria Math" w:hAnsi="Cambria Math"/>
                              <w:i/>
                              <w:sz w:val="18"/>
                            </w:rPr>
                          </m:ctrlPr>
                        </m:fPr>
                        <m:num>
                          <m:r>
                            <w:rPr>
                              <w:rFonts w:ascii="Cambria Math" w:hAnsi="Cambria Math"/>
                              <w:sz w:val="18"/>
                            </w:rPr>
                            <m:t>1 therm</m:t>
                          </m:r>
                        </m:num>
                        <m:den>
                          <m:r>
                            <w:rPr>
                              <w:rFonts w:ascii="Cambria Math" w:hAnsi="Cambria Math"/>
                              <w:sz w:val="18"/>
                            </w:rPr>
                            <m:t>100,000 Btu</m:t>
                          </m:r>
                        </m:den>
                      </m:f>
                    </m:e>
                  </m:d>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T</m:t>
                          </m:r>
                        </m:e>
                        <m:sub>
                          <m:r>
                            <w:rPr>
                              <w:rFonts w:ascii="Cambria Math" w:hAnsi="Cambria Math"/>
                              <w:sz w:val="18"/>
                            </w:rPr>
                            <m:t>mixed</m:t>
                          </m:r>
                        </m:sub>
                      </m:sSub>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ground</m:t>
                          </m:r>
                        </m:sub>
                      </m:sSub>
                    </m:e>
                  </m:d>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gas</m:t>
                      </m:r>
                    </m:sub>
                  </m:sSub>
                </m:den>
              </m:f>
            </m:e>
          </m:d>
        </m:oMath>
      </m:oMathPara>
    </w:p>
    <w:bookmarkEnd w:id="79"/>
    <w:p w14:paraId="5325CBAB" w14:textId="5F44551A" w:rsidR="00C432C1" w:rsidRDefault="00C432C1" w:rsidP="00C432C1">
      <w:pPr>
        <w:tabs>
          <w:tab w:val="left" w:pos="342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Pr>
          <w:rFonts w:ascii="Cambria Math" w:hAnsi="Cambria Math" w:cs="Calibri Light"/>
          <w:i/>
          <w:sz w:val="18"/>
          <w:szCs w:val="18"/>
          <w:vertAlign w:val="subscript"/>
        </w:rPr>
        <w:t>therms</w:t>
      </w:r>
      <w:proofErr w:type="spellEnd"/>
      <w:r>
        <w:rPr>
          <w:rFonts w:ascii="Cambria Math" w:hAnsi="Cambria Math" w:cs="Calibri Light"/>
          <w:i/>
          <w:sz w:val="18"/>
          <w:szCs w:val="18"/>
        </w:rPr>
        <w:t xml:space="preserve"> = </w:t>
      </w:r>
      <w:r>
        <w:rPr>
          <w:rFonts w:ascii="Cambria Math" w:hAnsi="Cambria Math" w:cs="Calibri Light"/>
          <w:i/>
          <w:sz w:val="18"/>
          <w:szCs w:val="18"/>
        </w:rPr>
        <w:tab/>
        <w:t>Annual gas unit energy savings (</w:t>
      </w:r>
      <w:proofErr w:type="spellStart"/>
      <w:r>
        <w:rPr>
          <w:rFonts w:ascii="Cambria Math" w:hAnsi="Cambria Math" w:cs="Calibri Light"/>
          <w:i/>
          <w:sz w:val="18"/>
          <w:szCs w:val="18"/>
        </w:rPr>
        <w:t>therms</w:t>
      </w:r>
      <w:proofErr w:type="spellEnd"/>
      <w:r>
        <w:rPr>
          <w:rFonts w:ascii="Cambria Math" w:hAnsi="Cambria Math" w:cs="Calibri Light"/>
          <w:i/>
          <w:sz w:val="18"/>
          <w:szCs w:val="18"/>
        </w:rPr>
        <w:t>/year)</w:t>
      </w:r>
    </w:p>
    <w:p w14:paraId="2583F8F7" w14:textId="77777777" w:rsidR="00B00200" w:rsidRDefault="00B00200" w:rsidP="00B00200">
      <w:pPr>
        <w:keepNext/>
        <w:keepLines/>
        <w:tabs>
          <w:tab w:val="left" w:pos="3420"/>
        </w:tabs>
        <w:spacing w:before="20" w:after="20"/>
        <w:ind w:left="1440"/>
        <w:rPr>
          <w:rFonts w:ascii="Cambria Math" w:hAnsi="Cambria Math" w:cs="Calibri Light"/>
          <w:i/>
          <w:sz w:val="18"/>
          <w:szCs w:val="18"/>
        </w:rPr>
      </w:pPr>
      <w:r>
        <w:rPr>
          <w:rFonts w:ascii="Cambria Math" w:hAnsi="Cambria Math" w:cs="Calibri Light"/>
          <w:i/>
          <w:sz w:val="18"/>
          <w:szCs w:val="18"/>
        </w:rPr>
        <w:t xml:space="preserve">WS = </w:t>
      </w:r>
      <w:r>
        <w:rPr>
          <w:rFonts w:ascii="Cambria Math" w:hAnsi="Cambria Math" w:cs="Calibri Light"/>
          <w:i/>
          <w:sz w:val="18"/>
          <w:szCs w:val="18"/>
        </w:rPr>
        <w:tab/>
        <w:t>Annual water savings (gal/year)</w:t>
      </w:r>
    </w:p>
    <w:p w14:paraId="6C034625" w14:textId="6740FCF0" w:rsidR="00C432C1" w:rsidRDefault="00C432C1" w:rsidP="00C432C1">
      <w:pPr>
        <w:tabs>
          <w:tab w:val="left" w:pos="3420"/>
        </w:tabs>
        <w:spacing w:before="20" w:after="20"/>
        <w:ind w:left="1440"/>
        <w:rPr>
          <w:rFonts w:ascii="Cambria Math" w:hAnsi="Cambria Math" w:cs="Calibri Light"/>
          <w:i/>
          <w:sz w:val="18"/>
          <w:szCs w:val="18"/>
        </w:rPr>
      </w:pPr>
      <w:r>
        <w:rPr>
          <w:rFonts w:ascii="Cambria Math" w:hAnsi="Cambria Math" w:cs="Calibri Light"/>
          <w:i/>
          <w:sz w:val="18"/>
          <w:szCs w:val="18"/>
        </w:rPr>
        <w:t xml:space="preserve">Cp = </w:t>
      </w:r>
      <w:r>
        <w:rPr>
          <w:rFonts w:ascii="Cambria Math" w:hAnsi="Cambria Math" w:cs="Calibri Light"/>
          <w:i/>
          <w:sz w:val="18"/>
          <w:szCs w:val="18"/>
        </w:rPr>
        <w:tab/>
        <w:t>Specific heat capacity of water (Btu/</w:t>
      </w:r>
      <w:proofErr w:type="spellStart"/>
      <w:r>
        <w:rPr>
          <w:rFonts w:ascii="Cambria Math" w:hAnsi="Cambria Math" w:cs="Calibri Light"/>
          <w:i/>
          <w:sz w:val="18"/>
          <w:szCs w:val="18"/>
        </w:rPr>
        <w:t>lb</w:t>
      </w:r>
      <w:proofErr w:type="spellEnd"/>
      <w:r>
        <w:rPr>
          <w:rFonts w:ascii="Cambria Math" w:hAnsi="Cambria Math" w:cs="Calibri Light"/>
          <w:i/>
          <w:sz w:val="18"/>
          <w:szCs w:val="18"/>
        </w:rPr>
        <w:t>/°F)</w:t>
      </w:r>
      <w:r w:rsidR="003E56C4">
        <w:rPr>
          <w:rFonts w:ascii="Cambria Math" w:hAnsi="Cambria Math" w:cs="Calibri Light"/>
          <w:i/>
          <w:sz w:val="18"/>
          <w:szCs w:val="18"/>
        </w:rPr>
        <w:t>, fixed constant</w:t>
      </w:r>
    </w:p>
    <w:p w14:paraId="54A6F047" w14:textId="0F736DF4" w:rsidR="00C432C1" w:rsidRDefault="00C432C1" w:rsidP="00C432C1">
      <w:pPr>
        <w:tabs>
          <w:tab w:val="left" w:pos="342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WaterWeight</w:t>
      </w:r>
      <w:proofErr w:type="spellEnd"/>
      <w:r>
        <w:rPr>
          <w:rFonts w:ascii="Cambria Math" w:hAnsi="Cambria Math" w:cs="Calibri Light"/>
          <w:i/>
          <w:sz w:val="18"/>
          <w:szCs w:val="18"/>
        </w:rPr>
        <w:t xml:space="preserve"> = </w:t>
      </w:r>
      <w:r>
        <w:rPr>
          <w:rFonts w:ascii="Cambria Math" w:hAnsi="Cambria Math" w:cs="Calibri Light"/>
          <w:i/>
          <w:sz w:val="18"/>
          <w:szCs w:val="18"/>
        </w:rPr>
        <w:tab/>
        <w:t>Weight of water (</w:t>
      </w:r>
      <w:proofErr w:type="spellStart"/>
      <w:r>
        <w:rPr>
          <w:rFonts w:ascii="Cambria Math" w:hAnsi="Cambria Math" w:cs="Calibri Light"/>
          <w:i/>
          <w:sz w:val="18"/>
          <w:szCs w:val="18"/>
        </w:rPr>
        <w:t>lb</w:t>
      </w:r>
      <w:proofErr w:type="spellEnd"/>
      <w:r>
        <w:rPr>
          <w:rFonts w:ascii="Cambria Math" w:hAnsi="Cambria Math" w:cs="Calibri Light"/>
          <w:i/>
          <w:sz w:val="18"/>
          <w:szCs w:val="18"/>
        </w:rPr>
        <w:t>/gal)</w:t>
      </w:r>
      <w:r w:rsidR="003E56C4">
        <w:rPr>
          <w:rFonts w:ascii="Cambria Math" w:hAnsi="Cambria Math" w:cs="Calibri Light"/>
          <w:i/>
          <w:sz w:val="18"/>
          <w:szCs w:val="18"/>
        </w:rPr>
        <w:t>, fixed constant</w:t>
      </w:r>
    </w:p>
    <w:p w14:paraId="235CB0EE" w14:textId="3E58FCF2" w:rsidR="00C432C1" w:rsidRDefault="00615CFA" w:rsidP="00C432C1">
      <w:pPr>
        <w:tabs>
          <w:tab w:val="left" w:pos="342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T</w:t>
      </w:r>
      <w:r w:rsidRPr="00615CFA">
        <w:rPr>
          <w:rFonts w:ascii="Cambria Math" w:hAnsi="Cambria Math" w:cs="Calibri Light"/>
          <w:i/>
          <w:sz w:val="18"/>
          <w:szCs w:val="18"/>
          <w:vertAlign w:val="subscript"/>
        </w:rPr>
        <w:t>mixed</w:t>
      </w:r>
      <w:proofErr w:type="spellEnd"/>
      <w:r w:rsidR="00C432C1">
        <w:rPr>
          <w:rFonts w:ascii="Cambria Math" w:hAnsi="Cambria Math" w:cs="Calibri Light"/>
          <w:i/>
          <w:sz w:val="18"/>
          <w:szCs w:val="18"/>
        </w:rPr>
        <w:t xml:space="preserve"> </w:t>
      </w:r>
      <w:r w:rsidR="00C432C1" w:rsidRPr="000B726B">
        <w:rPr>
          <w:rFonts w:ascii="Cambria Math" w:hAnsi="Cambria Math" w:cs="Calibri Light"/>
          <w:i/>
          <w:sz w:val="18"/>
          <w:szCs w:val="18"/>
        </w:rPr>
        <w:t xml:space="preserve">= </w:t>
      </w:r>
      <w:r w:rsidR="00C432C1">
        <w:rPr>
          <w:rFonts w:ascii="Cambria Math" w:hAnsi="Cambria Math" w:cs="Calibri Light"/>
          <w:i/>
          <w:sz w:val="18"/>
          <w:szCs w:val="18"/>
        </w:rPr>
        <w:tab/>
        <w:t>Mixed water temperature, at faucet (°F)</w:t>
      </w:r>
    </w:p>
    <w:p w14:paraId="35FC6BD6" w14:textId="42EA9FDB" w:rsidR="00C432C1" w:rsidRDefault="00615CFA" w:rsidP="00C432C1">
      <w:pPr>
        <w:tabs>
          <w:tab w:val="left" w:pos="3420"/>
        </w:tabs>
        <w:spacing w:before="20" w:after="20"/>
        <w:ind w:left="1440"/>
        <w:rPr>
          <w:rFonts w:ascii="Cambria Math" w:hAnsi="Cambria Math" w:cs="Calibri Light"/>
          <w:i/>
          <w:sz w:val="18"/>
          <w:szCs w:val="18"/>
        </w:rPr>
      </w:pPr>
      <w:proofErr w:type="spellStart"/>
      <w:r>
        <w:rPr>
          <w:rFonts w:ascii="Cambria Math" w:hAnsi="Cambria Math"/>
          <w:i/>
          <w:sz w:val="18"/>
          <w:szCs w:val="18"/>
        </w:rPr>
        <w:t>T</w:t>
      </w:r>
      <w:r w:rsidRPr="00615CFA">
        <w:rPr>
          <w:rFonts w:ascii="Cambria Math" w:hAnsi="Cambria Math"/>
          <w:i/>
          <w:sz w:val="18"/>
          <w:szCs w:val="18"/>
          <w:vertAlign w:val="subscript"/>
        </w:rPr>
        <w:t>ground</w:t>
      </w:r>
      <w:proofErr w:type="spellEnd"/>
      <w:r w:rsidR="00C432C1">
        <w:rPr>
          <w:rFonts w:ascii="Cambria Math" w:hAnsi="Cambria Math"/>
          <w:i/>
          <w:sz w:val="18"/>
          <w:szCs w:val="18"/>
        </w:rPr>
        <w:t xml:space="preserve"> = </w:t>
      </w:r>
      <w:r w:rsidR="00C432C1">
        <w:rPr>
          <w:rFonts w:ascii="Cambria Math" w:hAnsi="Cambria Math"/>
          <w:i/>
          <w:sz w:val="18"/>
          <w:szCs w:val="18"/>
        </w:rPr>
        <w:tab/>
        <w:t xml:space="preserve">Make-up </w:t>
      </w:r>
      <w:r>
        <w:rPr>
          <w:rFonts w:ascii="Cambria Math" w:hAnsi="Cambria Math"/>
          <w:i/>
          <w:sz w:val="18"/>
          <w:szCs w:val="18"/>
        </w:rPr>
        <w:t>ground</w:t>
      </w:r>
      <w:r w:rsidR="00C432C1">
        <w:rPr>
          <w:rFonts w:ascii="Cambria Math" w:hAnsi="Cambria Math"/>
          <w:i/>
          <w:sz w:val="18"/>
          <w:szCs w:val="18"/>
        </w:rPr>
        <w:t>water temperature,</w:t>
      </w:r>
      <w:r w:rsidR="00047A9E">
        <w:rPr>
          <w:rFonts w:ascii="Cambria Math" w:hAnsi="Cambria Math"/>
          <w:i/>
          <w:sz w:val="18"/>
          <w:szCs w:val="18"/>
        </w:rPr>
        <w:t xml:space="preserve"> varies by climate zone</w:t>
      </w:r>
      <w:r w:rsidR="00C432C1">
        <w:rPr>
          <w:rFonts w:ascii="Cambria Math" w:hAnsi="Cambria Math"/>
          <w:i/>
          <w:sz w:val="18"/>
          <w:szCs w:val="18"/>
        </w:rPr>
        <w:t xml:space="preserve"> </w:t>
      </w:r>
      <w:r w:rsidR="00C432C1">
        <w:rPr>
          <w:rFonts w:ascii="Cambria Math" w:hAnsi="Cambria Math" w:cs="Calibri Light"/>
          <w:i/>
          <w:sz w:val="18"/>
          <w:szCs w:val="18"/>
        </w:rPr>
        <w:t>(°F)</w:t>
      </w:r>
    </w:p>
    <w:p w14:paraId="2FC1AE42" w14:textId="686BE488" w:rsidR="00C432C1" w:rsidRDefault="0021124C" w:rsidP="00C432C1">
      <w:pPr>
        <w:tabs>
          <w:tab w:val="left" w:pos="3420"/>
        </w:tabs>
        <w:spacing w:before="20" w:after="20"/>
        <w:ind w:left="1440"/>
        <w:rPr>
          <w:rFonts w:ascii="Cambria Math" w:hAnsi="Cambria Math"/>
          <w:i/>
          <w:sz w:val="18"/>
          <w:szCs w:val="18"/>
        </w:rPr>
      </w:pPr>
      <w:proofErr w:type="spellStart"/>
      <w:r>
        <w:rPr>
          <w:rFonts w:ascii="Cambria Math" w:hAnsi="Cambria Math"/>
          <w:i/>
          <w:sz w:val="18"/>
          <w:szCs w:val="18"/>
        </w:rPr>
        <w:t>EFF</w:t>
      </w:r>
      <w:r w:rsidR="00C432C1">
        <w:rPr>
          <w:rFonts w:ascii="Cambria Math" w:hAnsi="Cambria Math"/>
          <w:i/>
          <w:sz w:val="18"/>
          <w:szCs w:val="18"/>
          <w:vertAlign w:val="subscript"/>
        </w:rPr>
        <w:t>gas</w:t>
      </w:r>
      <w:proofErr w:type="spellEnd"/>
      <w:r w:rsidR="00C432C1">
        <w:rPr>
          <w:rFonts w:ascii="Cambria Math" w:hAnsi="Cambria Math"/>
          <w:i/>
          <w:sz w:val="18"/>
          <w:szCs w:val="18"/>
        </w:rPr>
        <w:t xml:space="preserve"> = </w:t>
      </w:r>
      <w:r w:rsidR="00C432C1">
        <w:rPr>
          <w:rFonts w:ascii="Cambria Math" w:hAnsi="Cambria Math"/>
          <w:i/>
          <w:sz w:val="18"/>
          <w:szCs w:val="18"/>
        </w:rPr>
        <w:tab/>
        <w:t xml:space="preserve">Water heater efficiency, gas </w:t>
      </w:r>
    </w:p>
    <w:bookmarkEnd w:id="80"/>
    <w:p w14:paraId="3446F8B0" w14:textId="25209236" w:rsidR="00C432C1" w:rsidRDefault="00C432C1" w:rsidP="00C432C1">
      <w:pPr>
        <w:rPr>
          <w:rFonts w:cs="Calibri Light"/>
        </w:rPr>
      </w:pPr>
    </w:p>
    <w:p w14:paraId="59CED5B2" w14:textId="77777777" w:rsidR="00F864E6" w:rsidRDefault="00F864E6" w:rsidP="00F864E6">
      <w:r>
        <w:rPr>
          <w:b/>
        </w:rPr>
        <w:t>Recovery Efficiency</w:t>
      </w:r>
      <w:r w:rsidRPr="003557B3">
        <w:rPr>
          <w:b/>
        </w:rPr>
        <w:t xml:space="preserve">: </w:t>
      </w:r>
      <w:r w:rsidRPr="008E679A">
        <w:t xml:space="preserve">To convert the water heating load to </w:t>
      </w:r>
      <w:r>
        <w:t xml:space="preserve">electric </w:t>
      </w:r>
      <w:r w:rsidRPr="008E679A">
        <w:t xml:space="preserve">energy use at the water heater, the recovery efficiency (RE) is used. Recovery efficiency is a measure of how efficiently the heat from the energy source is transferred to the water (the ratio of energy output used to heat the water divided by energy input). </w:t>
      </w:r>
    </w:p>
    <w:p w14:paraId="6D95DB3C" w14:textId="77777777" w:rsidR="00F864E6" w:rsidRDefault="00F864E6" w:rsidP="00C432C1">
      <w:pPr>
        <w:rPr>
          <w:rFonts w:cs="Calibri Light"/>
        </w:rPr>
      </w:pPr>
    </w:p>
    <w:p w14:paraId="21BF4232" w14:textId="0810528C" w:rsidR="00C432C1" w:rsidRPr="008560FF" w:rsidRDefault="00AC0730" w:rsidP="00031810">
      <w:pPr>
        <w:pStyle w:val="Caption"/>
        <w:keepNext w:val="0"/>
        <w:keepLines w:val="0"/>
        <w:rPr>
          <w:rFonts w:cs="Calibri Light"/>
          <w:szCs w:val="20"/>
        </w:rPr>
      </w:pPr>
      <w:bookmarkStart w:id="82" w:name="_Hlk511921445"/>
      <w:bookmarkEnd w:id="81"/>
      <w:r>
        <w:t xml:space="preserve">Gas </w:t>
      </w:r>
      <w:r w:rsidR="0009055D">
        <w:rPr>
          <w:rFonts w:cs="Calibri Light"/>
          <w:szCs w:val="20"/>
        </w:rPr>
        <w:t>UES</w:t>
      </w:r>
      <w:r w:rsidR="00C432C1">
        <w:rPr>
          <w:rFonts w:cs="Calibri Light"/>
          <w:szCs w:val="20"/>
        </w:rPr>
        <w:t xml:space="preserve"> </w:t>
      </w:r>
      <w:r w:rsidR="0009055D">
        <w:rPr>
          <w:rFonts w:cs="Calibri Light"/>
          <w:szCs w:val="20"/>
        </w:rPr>
        <w:t>Inputs</w:t>
      </w:r>
      <w:r w:rsidR="00C432C1" w:rsidRPr="008560FF">
        <w:rPr>
          <w:rFonts w:cs="Calibri Light"/>
          <w:szCs w:val="20"/>
        </w:rPr>
        <w:t xml:space="preserve"> </w:t>
      </w:r>
    </w:p>
    <w:tbl>
      <w:tblPr>
        <w:tblW w:w="81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356"/>
        <w:gridCol w:w="1240"/>
        <w:gridCol w:w="3539"/>
      </w:tblGrid>
      <w:tr w:rsidR="0009055D" w:rsidRPr="00D31C65" w14:paraId="64B471B2" w14:textId="77777777" w:rsidTr="7FB13BFA">
        <w:trPr>
          <w:trHeight w:val="260"/>
          <w:tblHeader/>
        </w:trPr>
        <w:tc>
          <w:tcPr>
            <w:tcW w:w="3356" w:type="dxa"/>
            <w:shd w:val="clear" w:color="auto" w:fill="F2F2F2" w:themeFill="background1" w:themeFillShade="F2"/>
            <w:noWrap/>
            <w:vAlign w:val="bottom"/>
            <w:hideMark/>
          </w:tcPr>
          <w:p w14:paraId="415B2BDD" w14:textId="55A7AF15" w:rsidR="0009055D" w:rsidRPr="00D31C65" w:rsidRDefault="0009055D" w:rsidP="00031810">
            <w:pPr>
              <w:spacing w:before="0" w:after="0" w:line="240" w:lineRule="auto"/>
              <w:rPr>
                <w:rFonts w:eastAsia="Times New Roman" w:cs="Times New Roman"/>
                <w:b/>
                <w:sz w:val="20"/>
                <w:szCs w:val="20"/>
              </w:rPr>
            </w:pPr>
            <w:r>
              <w:rPr>
                <w:rFonts w:eastAsia="Times New Roman" w:cs="Times New Roman"/>
                <w:b/>
                <w:sz w:val="20"/>
                <w:szCs w:val="20"/>
              </w:rPr>
              <w:t>Parameter</w:t>
            </w:r>
          </w:p>
        </w:tc>
        <w:tc>
          <w:tcPr>
            <w:tcW w:w="1240" w:type="dxa"/>
            <w:shd w:val="clear" w:color="auto" w:fill="F2F2F2" w:themeFill="background1" w:themeFillShade="F2"/>
            <w:noWrap/>
            <w:vAlign w:val="bottom"/>
            <w:hideMark/>
          </w:tcPr>
          <w:p w14:paraId="03D12251" w14:textId="77777777" w:rsidR="0009055D" w:rsidRPr="00D31C65" w:rsidRDefault="0009055D" w:rsidP="00031810">
            <w:pPr>
              <w:spacing w:before="0" w:after="0" w:line="240" w:lineRule="auto"/>
              <w:jc w:val="center"/>
              <w:rPr>
                <w:rFonts w:eastAsia="Times New Roman" w:cs="Times New Roman"/>
                <w:b/>
                <w:sz w:val="20"/>
                <w:szCs w:val="20"/>
              </w:rPr>
            </w:pPr>
            <w:r w:rsidRPr="00D31C65">
              <w:rPr>
                <w:rFonts w:eastAsia="Times New Roman" w:cs="Times New Roman"/>
                <w:b/>
                <w:sz w:val="20"/>
                <w:szCs w:val="20"/>
              </w:rPr>
              <w:t>Value</w:t>
            </w:r>
          </w:p>
        </w:tc>
        <w:tc>
          <w:tcPr>
            <w:tcW w:w="3539" w:type="dxa"/>
            <w:shd w:val="clear" w:color="auto" w:fill="F2F2F2" w:themeFill="background1" w:themeFillShade="F2"/>
            <w:noWrap/>
            <w:vAlign w:val="bottom"/>
            <w:hideMark/>
          </w:tcPr>
          <w:p w14:paraId="091E266A" w14:textId="77777777" w:rsidR="0009055D" w:rsidRPr="00D31C65" w:rsidRDefault="0009055D" w:rsidP="00031810">
            <w:pPr>
              <w:spacing w:before="0" w:after="0" w:line="240" w:lineRule="auto"/>
              <w:jc w:val="center"/>
              <w:rPr>
                <w:rFonts w:eastAsia="Times New Roman" w:cs="Times New Roman"/>
                <w:b/>
                <w:sz w:val="20"/>
                <w:szCs w:val="20"/>
              </w:rPr>
            </w:pPr>
            <w:r w:rsidRPr="00D31C65">
              <w:rPr>
                <w:rFonts w:eastAsia="Times New Roman" w:cs="Times New Roman"/>
                <w:b/>
                <w:sz w:val="20"/>
                <w:szCs w:val="20"/>
              </w:rPr>
              <w:t>Source</w:t>
            </w:r>
          </w:p>
        </w:tc>
      </w:tr>
      <w:tr w:rsidR="0009055D" w:rsidRPr="00D31C65" w14:paraId="66C6D95D" w14:textId="77777777" w:rsidTr="7FB13BFA">
        <w:trPr>
          <w:trHeight w:val="260"/>
        </w:trPr>
        <w:tc>
          <w:tcPr>
            <w:tcW w:w="3356" w:type="dxa"/>
            <w:shd w:val="clear" w:color="auto" w:fill="FFFFFF" w:themeFill="background1"/>
            <w:noWrap/>
            <w:vAlign w:val="center"/>
            <w:hideMark/>
          </w:tcPr>
          <w:p w14:paraId="52CB9F18" w14:textId="7EE0094A" w:rsidR="0009055D" w:rsidRPr="00D31C65" w:rsidRDefault="0009055D" w:rsidP="00031810">
            <w:pPr>
              <w:spacing w:before="0" w:after="0" w:line="240" w:lineRule="auto"/>
              <w:rPr>
                <w:rFonts w:eastAsia="Times New Roman" w:cs="Times New Roman"/>
                <w:sz w:val="20"/>
                <w:szCs w:val="20"/>
              </w:rPr>
            </w:pPr>
            <w:r>
              <w:rPr>
                <w:rFonts w:eastAsia="Times New Roman" w:cs="Times New Roman"/>
                <w:sz w:val="20"/>
                <w:szCs w:val="20"/>
              </w:rPr>
              <w:t>Specific Heat Capacity</w:t>
            </w:r>
            <w:r w:rsidRPr="00D31C65">
              <w:rPr>
                <w:rFonts w:eastAsia="Times New Roman" w:cs="Times New Roman"/>
                <w:sz w:val="20"/>
                <w:szCs w:val="20"/>
              </w:rPr>
              <w:t xml:space="preserve"> of </w:t>
            </w:r>
            <w:r>
              <w:rPr>
                <w:rFonts w:eastAsia="Times New Roman" w:cs="Times New Roman"/>
                <w:sz w:val="20"/>
                <w:szCs w:val="20"/>
              </w:rPr>
              <w:t>W</w:t>
            </w:r>
            <w:r w:rsidRPr="00D31C65">
              <w:rPr>
                <w:rFonts w:eastAsia="Times New Roman" w:cs="Times New Roman"/>
                <w:sz w:val="20"/>
                <w:szCs w:val="20"/>
              </w:rPr>
              <w:t>ater</w:t>
            </w:r>
            <w:r>
              <w:rPr>
                <w:rFonts w:eastAsia="Times New Roman" w:cs="Times New Roman"/>
                <w:sz w:val="20"/>
                <w:szCs w:val="20"/>
              </w:rPr>
              <w:t xml:space="preserve"> (Btu</w:t>
            </w:r>
            <w:r w:rsidRPr="00D31C65">
              <w:rPr>
                <w:rFonts w:eastAsia="Times New Roman" w:cs="Times New Roman"/>
                <w:sz w:val="20"/>
                <w:szCs w:val="20"/>
              </w:rPr>
              <w:t>/</w:t>
            </w:r>
            <w:proofErr w:type="spellStart"/>
            <w:r w:rsidRPr="00D31C65">
              <w:rPr>
                <w:rFonts w:eastAsia="Times New Roman" w:cs="Times New Roman"/>
                <w:sz w:val="20"/>
                <w:szCs w:val="20"/>
              </w:rPr>
              <w:t>lb</w:t>
            </w:r>
            <w:proofErr w:type="spellEnd"/>
            <w:r w:rsidRPr="00D31C65">
              <w:rPr>
                <w:rFonts w:eastAsia="Times New Roman" w:cs="Times New Roman"/>
                <w:sz w:val="20"/>
                <w:szCs w:val="20"/>
              </w:rPr>
              <w:t>/°F</w:t>
            </w:r>
            <w:r>
              <w:rPr>
                <w:rFonts w:eastAsia="Times New Roman" w:cs="Times New Roman"/>
                <w:sz w:val="20"/>
                <w:szCs w:val="20"/>
              </w:rPr>
              <w:t>)</w:t>
            </w:r>
          </w:p>
        </w:tc>
        <w:tc>
          <w:tcPr>
            <w:tcW w:w="1240" w:type="dxa"/>
            <w:shd w:val="clear" w:color="auto" w:fill="FFFFFF" w:themeFill="background1"/>
            <w:noWrap/>
            <w:vAlign w:val="center"/>
            <w:hideMark/>
          </w:tcPr>
          <w:p w14:paraId="5A9D85D9" w14:textId="77777777" w:rsidR="0009055D" w:rsidRPr="00D31C65" w:rsidRDefault="0009055D" w:rsidP="00031810">
            <w:pPr>
              <w:spacing w:before="0" w:after="0" w:line="240" w:lineRule="auto"/>
              <w:jc w:val="right"/>
              <w:rPr>
                <w:rFonts w:eastAsia="Times New Roman" w:cs="Times New Roman"/>
                <w:sz w:val="20"/>
                <w:szCs w:val="20"/>
              </w:rPr>
            </w:pPr>
            <w:r w:rsidRPr="00D31C65">
              <w:rPr>
                <w:rFonts w:eastAsia="Times New Roman" w:cs="Times New Roman"/>
                <w:sz w:val="20"/>
                <w:szCs w:val="20"/>
              </w:rPr>
              <w:t>1</w:t>
            </w:r>
          </w:p>
        </w:tc>
        <w:tc>
          <w:tcPr>
            <w:tcW w:w="3539" w:type="dxa"/>
            <w:shd w:val="clear" w:color="auto" w:fill="FFFFFF" w:themeFill="background1"/>
            <w:noWrap/>
            <w:vAlign w:val="center"/>
            <w:hideMark/>
          </w:tcPr>
          <w:p w14:paraId="6824CC84" w14:textId="2BD12A74" w:rsidR="0009055D" w:rsidRPr="00247D11" w:rsidRDefault="0009055D" w:rsidP="00031810">
            <w:pPr>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09055D" w:rsidRPr="00D31C65" w14:paraId="442E490D" w14:textId="77777777" w:rsidTr="7FB13BFA">
        <w:trPr>
          <w:trHeight w:val="260"/>
        </w:trPr>
        <w:tc>
          <w:tcPr>
            <w:tcW w:w="3356" w:type="dxa"/>
            <w:shd w:val="clear" w:color="auto" w:fill="FFFFFF" w:themeFill="background1"/>
            <w:noWrap/>
            <w:vAlign w:val="center"/>
            <w:hideMark/>
          </w:tcPr>
          <w:p w14:paraId="797A948D" w14:textId="0A60D0F3" w:rsidR="0009055D" w:rsidRPr="00D31C65" w:rsidRDefault="0009055D" w:rsidP="00031810">
            <w:pPr>
              <w:spacing w:before="0" w:after="0" w:line="240" w:lineRule="auto"/>
              <w:rPr>
                <w:rFonts w:eastAsia="Times New Roman" w:cs="Times New Roman"/>
                <w:sz w:val="20"/>
                <w:szCs w:val="20"/>
              </w:rPr>
            </w:pPr>
            <w:r w:rsidRPr="00D31C65">
              <w:rPr>
                <w:rFonts w:eastAsia="Times New Roman" w:cs="Times New Roman"/>
                <w:sz w:val="20"/>
                <w:szCs w:val="20"/>
              </w:rPr>
              <w:t xml:space="preserve">Water </w:t>
            </w:r>
            <w:r>
              <w:rPr>
                <w:rFonts w:eastAsia="Times New Roman" w:cs="Times New Roman"/>
                <w:sz w:val="20"/>
                <w:szCs w:val="20"/>
              </w:rPr>
              <w:t>W</w:t>
            </w:r>
            <w:r w:rsidRPr="00D31C65">
              <w:rPr>
                <w:rFonts w:eastAsia="Times New Roman" w:cs="Times New Roman"/>
                <w:sz w:val="20"/>
                <w:szCs w:val="20"/>
              </w:rPr>
              <w:t>eight</w:t>
            </w:r>
            <w:r>
              <w:rPr>
                <w:rFonts w:eastAsia="Times New Roman" w:cs="Times New Roman"/>
                <w:sz w:val="20"/>
                <w:szCs w:val="20"/>
              </w:rPr>
              <w:t xml:space="preserve"> (</w:t>
            </w:r>
            <w:proofErr w:type="spellStart"/>
            <w:r w:rsidRPr="00D31C65">
              <w:rPr>
                <w:rFonts w:eastAsia="Times New Roman" w:cs="Times New Roman"/>
                <w:sz w:val="20"/>
                <w:szCs w:val="20"/>
              </w:rPr>
              <w:t>lb</w:t>
            </w:r>
            <w:proofErr w:type="spellEnd"/>
            <w:r w:rsidRPr="00D31C65">
              <w:rPr>
                <w:rFonts w:eastAsia="Times New Roman" w:cs="Times New Roman"/>
                <w:sz w:val="20"/>
                <w:szCs w:val="20"/>
              </w:rPr>
              <w:t>/gal</w:t>
            </w:r>
            <w:r>
              <w:rPr>
                <w:rFonts w:eastAsia="Times New Roman" w:cs="Times New Roman"/>
                <w:sz w:val="20"/>
                <w:szCs w:val="20"/>
              </w:rPr>
              <w:t>)</w:t>
            </w:r>
          </w:p>
        </w:tc>
        <w:tc>
          <w:tcPr>
            <w:tcW w:w="1240" w:type="dxa"/>
            <w:shd w:val="clear" w:color="auto" w:fill="FFFFFF" w:themeFill="background1"/>
            <w:noWrap/>
            <w:vAlign w:val="center"/>
            <w:hideMark/>
          </w:tcPr>
          <w:p w14:paraId="501164A1" w14:textId="77777777" w:rsidR="0009055D" w:rsidRPr="00D31C65" w:rsidRDefault="0009055D" w:rsidP="00031810">
            <w:pPr>
              <w:spacing w:before="0" w:after="0" w:line="240" w:lineRule="auto"/>
              <w:jc w:val="right"/>
              <w:rPr>
                <w:rFonts w:eastAsia="Times New Roman" w:cs="Times New Roman"/>
                <w:sz w:val="20"/>
                <w:szCs w:val="20"/>
              </w:rPr>
            </w:pPr>
            <w:r w:rsidRPr="00D31C65">
              <w:rPr>
                <w:rFonts w:eastAsia="Times New Roman" w:cs="Times New Roman"/>
                <w:sz w:val="20"/>
                <w:szCs w:val="20"/>
              </w:rPr>
              <w:t>8.34</w:t>
            </w:r>
          </w:p>
        </w:tc>
        <w:tc>
          <w:tcPr>
            <w:tcW w:w="3539" w:type="dxa"/>
            <w:shd w:val="clear" w:color="auto" w:fill="FFFFFF" w:themeFill="background1"/>
            <w:noWrap/>
            <w:vAlign w:val="center"/>
            <w:hideMark/>
          </w:tcPr>
          <w:p w14:paraId="464E4809" w14:textId="7F2B05FB" w:rsidR="0009055D" w:rsidRPr="00247D11" w:rsidRDefault="0009055D" w:rsidP="00031810">
            <w:pPr>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09055D" w:rsidRPr="00D31C65" w14:paraId="096B72D8" w14:textId="77777777" w:rsidTr="7FB13BFA">
        <w:trPr>
          <w:trHeight w:val="260"/>
        </w:trPr>
        <w:tc>
          <w:tcPr>
            <w:tcW w:w="3356" w:type="dxa"/>
            <w:shd w:val="clear" w:color="auto" w:fill="FFFFFF" w:themeFill="background1"/>
            <w:noWrap/>
            <w:vAlign w:val="center"/>
            <w:hideMark/>
          </w:tcPr>
          <w:p w14:paraId="4563C8C1" w14:textId="3DE5DF67" w:rsidR="0009055D" w:rsidRPr="00D31C65" w:rsidRDefault="0009055D" w:rsidP="00031810">
            <w:pPr>
              <w:spacing w:before="0" w:after="0" w:line="240" w:lineRule="auto"/>
              <w:rPr>
                <w:rFonts w:eastAsia="Times New Roman" w:cs="Times New Roman"/>
                <w:sz w:val="20"/>
                <w:szCs w:val="20"/>
              </w:rPr>
            </w:pPr>
            <w:r>
              <w:rPr>
                <w:rFonts w:eastAsia="Times New Roman" w:cs="Times New Roman"/>
                <w:sz w:val="20"/>
                <w:szCs w:val="20"/>
              </w:rPr>
              <w:t>Average Make-up (Groundwater) W</w:t>
            </w:r>
            <w:r w:rsidRPr="00D31C65">
              <w:rPr>
                <w:rFonts w:eastAsia="Times New Roman" w:cs="Times New Roman"/>
                <w:sz w:val="20"/>
                <w:szCs w:val="20"/>
              </w:rPr>
              <w:t xml:space="preserve">ater </w:t>
            </w:r>
            <w:r>
              <w:rPr>
                <w:rFonts w:eastAsia="Times New Roman" w:cs="Times New Roman"/>
                <w:sz w:val="20"/>
                <w:szCs w:val="20"/>
              </w:rPr>
              <w:t>T</w:t>
            </w:r>
            <w:r w:rsidRPr="00D31C65">
              <w:rPr>
                <w:rFonts w:eastAsia="Times New Roman" w:cs="Times New Roman"/>
                <w:sz w:val="20"/>
                <w:szCs w:val="20"/>
              </w:rPr>
              <w:t>emperature</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240" w:type="dxa"/>
            <w:shd w:val="clear" w:color="auto" w:fill="FFFFFF" w:themeFill="background1"/>
            <w:noWrap/>
            <w:vAlign w:val="center"/>
            <w:hideMark/>
          </w:tcPr>
          <w:p w14:paraId="0D595BC3" w14:textId="53CCAD6E" w:rsidR="0009055D" w:rsidRPr="00047A9E" w:rsidRDefault="00047A9E" w:rsidP="00031810">
            <w:pPr>
              <w:spacing w:before="0" w:after="0" w:line="240" w:lineRule="auto"/>
              <w:jc w:val="right"/>
              <w:rPr>
                <w:rFonts w:eastAsia="Times New Roman" w:cs="Times New Roman"/>
                <w:i/>
                <w:sz w:val="18"/>
                <w:szCs w:val="20"/>
              </w:rPr>
            </w:pPr>
            <w:r w:rsidRPr="00047A9E">
              <w:rPr>
                <w:rFonts w:eastAsia="Times New Roman" w:cs="Times New Roman"/>
                <w:i/>
                <w:sz w:val="18"/>
                <w:szCs w:val="20"/>
              </w:rPr>
              <w:t>Varies by climate zone</w:t>
            </w:r>
          </w:p>
        </w:tc>
        <w:tc>
          <w:tcPr>
            <w:tcW w:w="3539" w:type="dxa"/>
            <w:shd w:val="clear" w:color="auto" w:fill="FFFFFF" w:themeFill="background1"/>
            <w:noWrap/>
            <w:vAlign w:val="center"/>
          </w:tcPr>
          <w:p w14:paraId="3821F2C6" w14:textId="12424F2B" w:rsidR="0009055D" w:rsidRPr="00247D11" w:rsidRDefault="7FB13BFA" w:rsidP="7FB13BFA">
            <w:pPr>
              <w:spacing w:before="0" w:after="0" w:line="240" w:lineRule="auto"/>
              <w:rPr>
                <w:rFonts w:eastAsia="Times New Roman" w:cs="Times New Roman"/>
                <w:sz w:val="18"/>
                <w:szCs w:val="18"/>
              </w:rPr>
            </w:pPr>
            <w:r w:rsidRPr="7FB13BFA">
              <w:rPr>
                <w:sz w:val="18"/>
                <w:szCs w:val="18"/>
              </w:rPr>
              <w:t>Comparison-of-Ground-Temperatures.xlsx</w:t>
            </w:r>
          </w:p>
        </w:tc>
      </w:tr>
      <w:tr w:rsidR="00047A9E" w:rsidRPr="00D31C65" w14:paraId="6DBD8532" w14:textId="77777777" w:rsidTr="7FB13BFA">
        <w:trPr>
          <w:trHeight w:val="260"/>
        </w:trPr>
        <w:tc>
          <w:tcPr>
            <w:tcW w:w="3356" w:type="dxa"/>
            <w:shd w:val="clear" w:color="auto" w:fill="FFFFFF" w:themeFill="background1"/>
            <w:noWrap/>
            <w:vAlign w:val="center"/>
            <w:hideMark/>
          </w:tcPr>
          <w:p w14:paraId="7A2184EF" w14:textId="164AE478" w:rsidR="00047A9E" w:rsidRPr="00D31C65" w:rsidRDefault="00047A9E" w:rsidP="00047A9E">
            <w:pPr>
              <w:spacing w:before="0" w:after="0" w:line="240" w:lineRule="auto"/>
              <w:rPr>
                <w:rFonts w:eastAsia="Times New Roman" w:cs="Times New Roman"/>
                <w:sz w:val="20"/>
                <w:szCs w:val="20"/>
              </w:rPr>
            </w:pPr>
            <w:r>
              <w:rPr>
                <w:rFonts w:eastAsia="Times New Roman" w:cs="Times New Roman"/>
                <w:sz w:val="20"/>
                <w:szCs w:val="20"/>
              </w:rPr>
              <w:t xml:space="preserve">Mixed </w:t>
            </w:r>
            <w:r w:rsidRPr="00D31C65">
              <w:rPr>
                <w:rFonts w:eastAsia="Times New Roman" w:cs="Times New Roman"/>
                <w:sz w:val="20"/>
                <w:szCs w:val="20"/>
              </w:rPr>
              <w:t xml:space="preserve">Water </w:t>
            </w:r>
            <w:r>
              <w:rPr>
                <w:rFonts w:eastAsia="Times New Roman" w:cs="Times New Roman"/>
                <w:sz w:val="20"/>
                <w:szCs w:val="20"/>
              </w:rPr>
              <w:t>T</w:t>
            </w:r>
            <w:r w:rsidRPr="00D31C65">
              <w:rPr>
                <w:rFonts w:eastAsia="Times New Roman" w:cs="Times New Roman"/>
                <w:sz w:val="20"/>
                <w:szCs w:val="20"/>
              </w:rPr>
              <w:t>emp</w:t>
            </w:r>
            <w:r>
              <w:rPr>
                <w:rFonts w:eastAsia="Times New Roman" w:cs="Times New Roman"/>
                <w:sz w:val="20"/>
                <w:szCs w:val="20"/>
              </w:rPr>
              <w:t>erature</w:t>
            </w:r>
            <w:r w:rsidRPr="00D31C65">
              <w:rPr>
                <w:rFonts w:eastAsia="Times New Roman" w:cs="Times New Roman"/>
                <w:sz w:val="20"/>
                <w:szCs w:val="20"/>
              </w:rPr>
              <w:t xml:space="preserve"> @ Faucet</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240" w:type="dxa"/>
            <w:shd w:val="clear" w:color="auto" w:fill="FFFFFF" w:themeFill="background1"/>
            <w:noWrap/>
            <w:vAlign w:val="center"/>
            <w:hideMark/>
          </w:tcPr>
          <w:p w14:paraId="57302AE9" w14:textId="77777777" w:rsidR="00047A9E" w:rsidRPr="00DB79BE" w:rsidRDefault="00047A9E" w:rsidP="00047A9E">
            <w:pPr>
              <w:spacing w:before="0" w:after="0" w:line="240" w:lineRule="auto"/>
              <w:jc w:val="right"/>
              <w:rPr>
                <w:rFonts w:eastAsia="Times New Roman" w:cs="Times New Roman"/>
                <w:sz w:val="20"/>
                <w:szCs w:val="20"/>
              </w:rPr>
            </w:pPr>
            <w:r w:rsidRPr="00DB79BE">
              <w:rPr>
                <w:rFonts w:eastAsia="Times New Roman" w:cs="Times New Roman"/>
                <w:sz w:val="20"/>
                <w:szCs w:val="20"/>
              </w:rPr>
              <w:t>106</w:t>
            </w:r>
          </w:p>
        </w:tc>
        <w:tc>
          <w:tcPr>
            <w:tcW w:w="3539" w:type="dxa"/>
            <w:shd w:val="clear" w:color="auto" w:fill="FFFFFF" w:themeFill="background1"/>
            <w:noWrap/>
            <w:vAlign w:val="center"/>
          </w:tcPr>
          <w:p w14:paraId="6DEB0F79" w14:textId="505CCEED" w:rsidR="00047A9E" w:rsidRPr="00325626" w:rsidRDefault="00047A9E" w:rsidP="00047A9E">
            <w:pPr>
              <w:spacing w:before="0" w:after="0" w:line="240" w:lineRule="auto"/>
              <w:rPr>
                <w:rFonts w:eastAsia="Times New Roman" w:cs="Times New Roman"/>
                <w:b/>
                <w:sz w:val="20"/>
                <w:szCs w:val="20"/>
                <w:highlight w:val="yellow"/>
              </w:rPr>
            </w:pPr>
            <w:r w:rsidRPr="00247D11">
              <w:rPr>
                <w:sz w:val="18"/>
              </w:rPr>
              <w:t>Sempra Energy Utilities (SEU). 2012. “</w:t>
            </w:r>
            <w:r>
              <w:rPr>
                <w:sz w:val="18"/>
              </w:rPr>
              <w:t>SEU</w:t>
            </w:r>
            <w:r w:rsidRPr="00247D11">
              <w:rPr>
                <w:sz w:val="18"/>
              </w:rPr>
              <w:t xml:space="preserve"> 2009 ASW Data REDACTED.xlsx”.</w:t>
            </w:r>
          </w:p>
        </w:tc>
      </w:tr>
      <w:tr w:rsidR="00047A9E" w:rsidRPr="00D31C65" w14:paraId="3E855285" w14:textId="77777777" w:rsidTr="7FB13BFA">
        <w:trPr>
          <w:trHeight w:val="260"/>
        </w:trPr>
        <w:tc>
          <w:tcPr>
            <w:tcW w:w="3356" w:type="dxa"/>
            <w:shd w:val="clear" w:color="auto" w:fill="FFFFFF" w:themeFill="background1"/>
            <w:noWrap/>
            <w:vAlign w:val="center"/>
          </w:tcPr>
          <w:p w14:paraId="46D50AC0" w14:textId="157D3A33" w:rsidR="00047A9E" w:rsidRPr="00D31C65" w:rsidRDefault="00047A9E" w:rsidP="00047A9E">
            <w:pPr>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240" w:type="dxa"/>
            <w:shd w:val="clear" w:color="auto" w:fill="FFFFFF" w:themeFill="background1"/>
            <w:noWrap/>
            <w:vAlign w:val="center"/>
          </w:tcPr>
          <w:p w14:paraId="02E7AB01" w14:textId="10888FD2" w:rsidR="00047A9E" w:rsidRPr="00DB79BE" w:rsidRDefault="00047A9E" w:rsidP="00047A9E">
            <w:pPr>
              <w:spacing w:before="0" w:after="0" w:line="240" w:lineRule="auto"/>
              <w:jc w:val="right"/>
              <w:rPr>
                <w:rFonts w:eastAsia="Times New Roman" w:cs="Times New Roman"/>
                <w:sz w:val="20"/>
                <w:szCs w:val="20"/>
              </w:rPr>
            </w:pPr>
            <w:r w:rsidRPr="00DB79BE">
              <w:rPr>
                <w:rFonts w:eastAsia="Times New Roman" w:cs="Times New Roman"/>
                <w:sz w:val="20"/>
                <w:szCs w:val="20"/>
              </w:rPr>
              <w:t>0.77</w:t>
            </w:r>
          </w:p>
        </w:tc>
        <w:tc>
          <w:tcPr>
            <w:tcW w:w="3539" w:type="dxa"/>
            <w:shd w:val="clear" w:color="auto" w:fill="FFFFFF" w:themeFill="background1"/>
            <w:noWrap/>
            <w:vAlign w:val="center"/>
          </w:tcPr>
          <w:p w14:paraId="6685EB94" w14:textId="77777777" w:rsidR="00047A9E" w:rsidRDefault="00047A9E" w:rsidP="00047A9E">
            <w:pPr>
              <w:spacing w:before="0" w:after="0" w:line="240" w:lineRule="auto"/>
              <w:rPr>
                <w:rFonts w:eastAsia="Times New Roman" w:cs="Times New Roman"/>
                <w:sz w:val="18"/>
                <w:szCs w:val="18"/>
              </w:rPr>
            </w:pPr>
            <w:r w:rsidRPr="00780884">
              <w:rPr>
                <w:rFonts w:eastAsia="Times New Roman" w:cs="Times New Roman"/>
                <w:sz w:val="18"/>
                <w:szCs w:val="18"/>
              </w:rPr>
              <w:t>Southern California Gas Company (SCG). 2010. “Gas Fired Storage Water Heater Extract from CEC Appliance Data 07.07.2010.xlsx.”</w:t>
            </w:r>
          </w:p>
          <w:p w14:paraId="60632DC0" w14:textId="77777777" w:rsidR="00047A9E" w:rsidRPr="00332F5E" w:rsidRDefault="00047A9E" w:rsidP="00047A9E">
            <w:pPr>
              <w:spacing w:before="0" w:after="0" w:line="240" w:lineRule="auto"/>
              <w:rPr>
                <w:rFonts w:eastAsia="Times New Roman" w:cs="Times New Roman"/>
                <w:sz w:val="20"/>
                <w:szCs w:val="20"/>
                <w:highlight w:val="yellow"/>
              </w:rPr>
            </w:pPr>
          </w:p>
          <w:p w14:paraId="0C9801AF" w14:textId="57DF022E" w:rsidR="00047A9E" w:rsidRPr="00325626" w:rsidRDefault="00047A9E" w:rsidP="00047A9E">
            <w:pPr>
              <w:spacing w:before="0" w:after="0" w:line="240" w:lineRule="auto"/>
              <w:rPr>
                <w:rFonts w:eastAsia="Times New Roman" w:cs="Times New Roman"/>
                <w:b/>
                <w:sz w:val="20"/>
                <w:szCs w:val="20"/>
                <w:highlight w:val="yellow"/>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 xml:space="preserve">Non-DEER Measure Review Template: PGECODHW113 – Low Flow Showerhead and </w:t>
            </w:r>
            <w:proofErr w:type="spellStart"/>
            <w:r w:rsidRPr="00E540D1">
              <w:rPr>
                <w:rFonts w:eastAsia="Times New Roman" w:cs="Times New Roman"/>
                <w:i/>
                <w:sz w:val="18"/>
                <w:szCs w:val="18"/>
              </w:rPr>
              <w:t>Thermstatic</w:t>
            </w:r>
            <w:proofErr w:type="spellEnd"/>
            <w:r w:rsidRPr="00E540D1">
              <w:rPr>
                <w:rFonts w:eastAsia="Times New Roman" w:cs="Times New Roman"/>
                <w:i/>
                <w:sz w:val="18"/>
                <w:szCs w:val="18"/>
              </w:rPr>
              <w:t xml:space="preserve"> Shower Restriction Valve.</w:t>
            </w:r>
            <w:r w:rsidRPr="00E540D1">
              <w:rPr>
                <w:rFonts w:eastAsia="Times New Roman" w:cs="Times New Roman"/>
                <w:sz w:val="18"/>
                <w:szCs w:val="18"/>
              </w:rPr>
              <w:t xml:space="preserve"> April 27.</w:t>
            </w:r>
          </w:p>
        </w:tc>
      </w:tr>
    </w:tbl>
    <w:p w14:paraId="0D772D4D" w14:textId="473E1E1F" w:rsidR="00D52102" w:rsidRPr="00BA632F" w:rsidRDefault="00D52102" w:rsidP="006A54DD">
      <w:pPr>
        <w:pStyle w:val="Caption"/>
        <w:rPr>
          <w:i/>
        </w:rPr>
      </w:pPr>
      <w:bookmarkStart w:id="83" w:name="_Hlk511642499"/>
      <w:bookmarkEnd w:id="82"/>
      <w:r>
        <w:t>Make-up (Groundwater) Water Temperatures by Climate Zone</w:t>
      </w:r>
    </w:p>
    <w:tbl>
      <w:tblPr>
        <w:tblW w:w="611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08"/>
        <w:gridCol w:w="2496"/>
        <w:gridCol w:w="2607"/>
      </w:tblGrid>
      <w:tr w:rsidR="00837472" w:rsidRPr="001A2534" w14:paraId="66EC0EB5" w14:textId="77777777" w:rsidTr="00837472">
        <w:trPr>
          <w:cantSplit/>
          <w:trHeight w:val="20"/>
          <w:tblHeader/>
        </w:trPr>
        <w:tc>
          <w:tcPr>
            <w:tcW w:w="1008" w:type="dxa"/>
            <w:tcBorders>
              <w:right w:val="dashed" w:sz="4" w:space="0" w:color="A6A6A6" w:themeColor="background1" w:themeShade="A6"/>
            </w:tcBorders>
            <w:shd w:val="clear" w:color="auto" w:fill="F2F2F2" w:themeFill="background1" w:themeFillShade="F2"/>
            <w:hideMark/>
          </w:tcPr>
          <w:p w14:paraId="30119241" w14:textId="77777777" w:rsidR="00837472" w:rsidRPr="001A2534" w:rsidRDefault="00837472" w:rsidP="006A54DD">
            <w:pPr>
              <w:keepNext/>
              <w:keepLines/>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Climate Zone</w:t>
            </w:r>
          </w:p>
        </w:tc>
        <w:tc>
          <w:tcPr>
            <w:tcW w:w="2496" w:type="dxa"/>
            <w:tcBorders>
              <w:left w:val="dashed" w:sz="4" w:space="0" w:color="A6A6A6" w:themeColor="background1" w:themeShade="A6"/>
              <w:right w:val="single" w:sz="4" w:space="0" w:color="A6A6A6" w:themeColor="background1" w:themeShade="A6"/>
            </w:tcBorders>
            <w:shd w:val="clear" w:color="auto" w:fill="F2F2F2" w:themeFill="background1" w:themeFillShade="F2"/>
            <w:hideMark/>
          </w:tcPr>
          <w:p w14:paraId="2D2492B1" w14:textId="77777777" w:rsidR="00837472" w:rsidRPr="001A2534" w:rsidRDefault="00837472" w:rsidP="006A54DD">
            <w:pPr>
              <w:keepNext/>
              <w:keepLines/>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 xml:space="preserve">Make-up (Groundwater) Temperature </w:t>
            </w:r>
            <w:r w:rsidRPr="001A2534">
              <w:rPr>
                <w:b/>
                <w:sz w:val="20"/>
                <w:szCs w:val="20"/>
              </w:rPr>
              <w:t>(</w:t>
            </w:r>
            <w:r>
              <w:rPr>
                <w:rFonts w:cs="Calibri Light"/>
                <w:b/>
                <w:sz w:val="20"/>
                <w:szCs w:val="20"/>
              </w:rPr>
              <w:t>°</w:t>
            </w:r>
            <w:r>
              <w:rPr>
                <w:b/>
                <w:sz w:val="20"/>
                <w:szCs w:val="20"/>
              </w:rPr>
              <w:t>F</w:t>
            </w:r>
            <w:r w:rsidRPr="001A2534">
              <w:rPr>
                <w:b/>
                <w:sz w:val="20"/>
                <w:szCs w:val="20"/>
              </w:rPr>
              <w:t>)</w:t>
            </w:r>
          </w:p>
        </w:tc>
        <w:tc>
          <w:tcPr>
            <w:tcW w:w="2607" w:type="dxa"/>
            <w:shd w:val="clear" w:color="auto" w:fill="F2F2F2" w:themeFill="background1" w:themeFillShade="F2"/>
            <w:vAlign w:val="bottom"/>
          </w:tcPr>
          <w:p w14:paraId="4EE94AEC" w14:textId="77777777" w:rsidR="00837472" w:rsidRPr="001A2534" w:rsidRDefault="00837472" w:rsidP="006A54DD">
            <w:pPr>
              <w:keepNext/>
              <w:keepLines/>
              <w:spacing w:before="0" w:after="0" w:line="240" w:lineRule="auto"/>
              <w:jc w:val="center"/>
              <w:rPr>
                <w:rFonts w:eastAsia="Times New Roman" w:cs="Calibri Light"/>
                <w:b/>
                <w:color w:val="000000"/>
                <w:sz w:val="20"/>
                <w:szCs w:val="20"/>
              </w:rPr>
            </w:pPr>
            <w:r>
              <w:rPr>
                <w:rFonts w:eastAsia="Times New Roman" w:cs="Calibri Light"/>
                <w:b/>
                <w:color w:val="000000"/>
                <w:sz w:val="20"/>
                <w:szCs w:val="20"/>
              </w:rPr>
              <w:t>Source</w:t>
            </w:r>
          </w:p>
        </w:tc>
      </w:tr>
      <w:tr w:rsidR="00837472" w:rsidRPr="00BA632F" w14:paraId="328D8B19"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8FD20D5" w14:textId="77777777" w:rsidR="00837472" w:rsidRPr="001A2534" w:rsidRDefault="00837472" w:rsidP="006A54DD">
            <w:pPr>
              <w:keepNext/>
              <w:keepLines/>
              <w:spacing w:before="0" w:after="0" w:line="240" w:lineRule="auto"/>
              <w:rPr>
                <w:rFonts w:eastAsia="Times New Roman" w:cs="Calibri Light"/>
                <w:color w:val="000000"/>
                <w:sz w:val="20"/>
                <w:szCs w:val="20"/>
              </w:rPr>
            </w:pPr>
            <w:r>
              <w:rPr>
                <w:rFonts w:cs="Calibri"/>
                <w:sz w:val="20"/>
                <w:szCs w:val="20"/>
              </w:rPr>
              <w:t xml:space="preserve">CZ </w:t>
            </w:r>
            <w:r w:rsidRPr="001A2534">
              <w:rPr>
                <w:rFonts w:cs="Calibri"/>
                <w:sz w:val="20"/>
                <w:szCs w:val="20"/>
              </w:rPr>
              <w:t>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1E12E25" w14:textId="77777777" w:rsidR="00837472" w:rsidRPr="001A2534" w:rsidRDefault="00837472" w:rsidP="006A54DD">
            <w:pPr>
              <w:keepNext/>
              <w:keepLines/>
              <w:spacing w:before="0" w:after="0" w:line="240" w:lineRule="auto"/>
              <w:jc w:val="center"/>
              <w:rPr>
                <w:rFonts w:eastAsia="Times New Roman" w:cs="Calibri Light"/>
                <w:color w:val="000000"/>
                <w:sz w:val="20"/>
                <w:szCs w:val="20"/>
              </w:rPr>
            </w:pPr>
            <w:r w:rsidRPr="001A2534">
              <w:rPr>
                <w:sz w:val="20"/>
                <w:szCs w:val="20"/>
              </w:rPr>
              <w:t>51.</w:t>
            </w:r>
            <w:r>
              <w:rPr>
                <w:sz w:val="20"/>
                <w:szCs w:val="20"/>
              </w:rPr>
              <w:t>4</w:t>
            </w:r>
          </w:p>
        </w:tc>
        <w:tc>
          <w:tcPr>
            <w:tcW w:w="26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3BB89088" w14:textId="087FD626" w:rsidR="00837472" w:rsidRPr="00B853CA" w:rsidRDefault="00620282" w:rsidP="006A54DD">
            <w:pPr>
              <w:keepNext/>
              <w:keepLines/>
              <w:spacing w:before="0" w:after="0" w:line="240" w:lineRule="auto"/>
              <w:rPr>
                <w:rFonts w:cs="Calibri"/>
                <w:sz w:val="18"/>
                <w:szCs w:val="20"/>
              </w:rPr>
            </w:pPr>
            <w:r w:rsidRPr="00620282">
              <w:rPr>
                <w:rFonts w:cs="Calibri"/>
                <w:sz w:val="18"/>
                <w:szCs w:val="20"/>
              </w:rPr>
              <w:t>Reeves, P. (Consultant to California Public Utilities Commission, Energy Division). 2013. "Comparison-of-Ground-Temperatures-v2_byPaulReeves.xlsx."</w:t>
            </w:r>
          </w:p>
        </w:tc>
      </w:tr>
      <w:tr w:rsidR="00837472" w:rsidRPr="00BA632F" w14:paraId="35A6A14B"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B1E01D0" w14:textId="77777777" w:rsidR="00837472" w:rsidRPr="001A2534" w:rsidRDefault="00837472" w:rsidP="006A54DD">
            <w:pPr>
              <w:keepNext/>
              <w:keepLines/>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938908F" w14:textId="77777777" w:rsidR="00837472" w:rsidRPr="001A2534" w:rsidRDefault="00837472" w:rsidP="006A54DD">
            <w:pPr>
              <w:keepNext/>
              <w:keepLines/>
              <w:spacing w:before="0" w:after="0" w:line="240" w:lineRule="auto"/>
              <w:jc w:val="center"/>
              <w:rPr>
                <w:rFonts w:eastAsia="Times New Roman" w:cs="Calibri Light"/>
                <w:color w:val="000000"/>
                <w:sz w:val="20"/>
                <w:szCs w:val="20"/>
              </w:rPr>
            </w:pPr>
            <w:r w:rsidRPr="001A2534">
              <w:rPr>
                <w:sz w:val="20"/>
                <w:szCs w:val="20"/>
              </w:rPr>
              <w:t>57.</w:t>
            </w:r>
            <w:r>
              <w:rPr>
                <w:sz w:val="20"/>
                <w:szCs w:val="20"/>
              </w:rPr>
              <w:t>3</w:t>
            </w:r>
          </w:p>
        </w:tc>
        <w:tc>
          <w:tcPr>
            <w:tcW w:w="2607" w:type="dxa"/>
            <w:vMerge/>
            <w:tcBorders>
              <w:left w:val="single" w:sz="4" w:space="0" w:color="A6A6A6" w:themeColor="background1" w:themeShade="A6"/>
              <w:right w:val="single" w:sz="4" w:space="0" w:color="A6A6A6" w:themeColor="background1" w:themeShade="A6"/>
            </w:tcBorders>
          </w:tcPr>
          <w:p w14:paraId="1DF40669" w14:textId="77777777" w:rsidR="00837472" w:rsidRPr="001A2534" w:rsidRDefault="00837472" w:rsidP="006A54DD">
            <w:pPr>
              <w:keepNext/>
              <w:keepLines/>
              <w:spacing w:before="0" w:after="0" w:line="240" w:lineRule="auto"/>
              <w:jc w:val="center"/>
              <w:rPr>
                <w:rFonts w:cs="Calibri"/>
                <w:sz w:val="20"/>
                <w:szCs w:val="20"/>
              </w:rPr>
            </w:pPr>
          </w:p>
        </w:tc>
      </w:tr>
      <w:tr w:rsidR="00837472" w:rsidRPr="00BA632F" w14:paraId="6FBD6457"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4868818" w14:textId="77777777" w:rsidR="00837472" w:rsidRPr="001A2534" w:rsidRDefault="00837472" w:rsidP="006A54DD">
            <w:pPr>
              <w:keepNext/>
              <w:keepLines/>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81FF65B" w14:textId="77777777" w:rsidR="00837472" w:rsidRPr="001A2534" w:rsidRDefault="00837472" w:rsidP="006A54DD">
            <w:pPr>
              <w:keepNext/>
              <w:keepLines/>
              <w:spacing w:before="0" w:after="0" w:line="240" w:lineRule="auto"/>
              <w:jc w:val="center"/>
              <w:rPr>
                <w:rFonts w:eastAsia="Times New Roman" w:cs="Calibri Light"/>
                <w:color w:val="000000"/>
                <w:sz w:val="20"/>
                <w:szCs w:val="20"/>
              </w:rPr>
            </w:pPr>
            <w:r w:rsidRPr="001A2534">
              <w:rPr>
                <w:sz w:val="20"/>
                <w:szCs w:val="20"/>
              </w:rPr>
              <w:t>57.</w:t>
            </w:r>
            <w:r>
              <w:rPr>
                <w:sz w:val="20"/>
                <w:szCs w:val="20"/>
              </w:rPr>
              <w:t>1</w:t>
            </w:r>
          </w:p>
        </w:tc>
        <w:tc>
          <w:tcPr>
            <w:tcW w:w="2607" w:type="dxa"/>
            <w:vMerge/>
            <w:tcBorders>
              <w:left w:val="single" w:sz="4" w:space="0" w:color="A6A6A6" w:themeColor="background1" w:themeShade="A6"/>
              <w:right w:val="single" w:sz="4" w:space="0" w:color="A6A6A6" w:themeColor="background1" w:themeShade="A6"/>
            </w:tcBorders>
          </w:tcPr>
          <w:p w14:paraId="4101739F" w14:textId="77777777" w:rsidR="00837472" w:rsidRPr="001A2534" w:rsidRDefault="00837472" w:rsidP="006A54DD">
            <w:pPr>
              <w:keepNext/>
              <w:keepLines/>
              <w:spacing w:before="0" w:after="0" w:line="240" w:lineRule="auto"/>
              <w:jc w:val="center"/>
              <w:rPr>
                <w:rFonts w:cs="Calibri"/>
                <w:sz w:val="20"/>
                <w:szCs w:val="20"/>
              </w:rPr>
            </w:pPr>
          </w:p>
        </w:tc>
      </w:tr>
      <w:tr w:rsidR="00837472" w:rsidRPr="00BA632F" w14:paraId="021C8124"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FBF45AE" w14:textId="77777777" w:rsidR="00837472" w:rsidRPr="001A2534" w:rsidRDefault="00837472" w:rsidP="006A54DD">
            <w:pPr>
              <w:keepNext/>
              <w:keepLines/>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7E10996" w14:textId="77777777" w:rsidR="00837472" w:rsidRPr="001A2534" w:rsidRDefault="00837472" w:rsidP="006A54DD">
            <w:pPr>
              <w:keepNext/>
              <w:keepLines/>
              <w:spacing w:before="0" w:after="0" w:line="240" w:lineRule="auto"/>
              <w:jc w:val="center"/>
              <w:rPr>
                <w:rFonts w:eastAsia="Times New Roman" w:cs="Calibri Light"/>
                <w:color w:val="000000"/>
                <w:sz w:val="20"/>
                <w:szCs w:val="20"/>
              </w:rPr>
            </w:pPr>
            <w:r w:rsidRPr="001A2534">
              <w:rPr>
                <w:sz w:val="20"/>
                <w:szCs w:val="20"/>
              </w:rPr>
              <w:t>59.5</w:t>
            </w:r>
          </w:p>
        </w:tc>
        <w:tc>
          <w:tcPr>
            <w:tcW w:w="2607" w:type="dxa"/>
            <w:vMerge/>
            <w:tcBorders>
              <w:left w:val="single" w:sz="4" w:space="0" w:color="A6A6A6" w:themeColor="background1" w:themeShade="A6"/>
              <w:right w:val="single" w:sz="4" w:space="0" w:color="A6A6A6" w:themeColor="background1" w:themeShade="A6"/>
            </w:tcBorders>
          </w:tcPr>
          <w:p w14:paraId="70AB9914" w14:textId="77777777" w:rsidR="00837472" w:rsidRPr="001A2534" w:rsidRDefault="00837472" w:rsidP="006A54DD">
            <w:pPr>
              <w:keepNext/>
              <w:keepLines/>
              <w:spacing w:before="0" w:after="0" w:line="240" w:lineRule="auto"/>
              <w:jc w:val="center"/>
              <w:rPr>
                <w:rFonts w:cs="Calibri"/>
                <w:sz w:val="20"/>
                <w:szCs w:val="20"/>
              </w:rPr>
            </w:pPr>
          </w:p>
        </w:tc>
      </w:tr>
      <w:tr w:rsidR="00837472" w:rsidRPr="00BA632F" w14:paraId="0D97D146"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1A92F2B6" w14:textId="77777777" w:rsidR="00837472" w:rsidRPr="001A2534" w:rsidRDefault="00837472" w:rsidP="009C3D9D">
            <w:pPr>
              <w:spacing w:before="0" w:after="0" w:line="240" w:lineRule="auto"/>
              <w:rPr>
                <w:sz w:val="20"/>
                <w:szCs w:val="20"/>
              </w:rPr>
            </w:pPr>
            <w:r>
              <w:rPr>
                <w:rFonts w:cs="Calibri"/>
                <w:sz w:val="20"/>
                <w:szCs w:val="20"/>
              </w:rPr>
              <w:t>CZ</w:t>
            </w:r>
            <w:r w:rsidRPr="001A2534">
              <w:rPr>
                <w:rFonts w:cs="Calibri"/>
                <w:sz w:val="20"/>
                <w:szCs w:val="20"/>
              </w:rPr>
              <w:t xml:space="preserve"> 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1275DF2D" w14:textId="77777777" w:rsidR="00837472" w:rsidRPr="001A2534" w:rsidRDefault="00837472" w:rsidP="009C3D9D">
            <w:pPr>
              <w:spacing w:before="0" w:after="0" w:line="240" w:lineRule="auto"/>
              <w:jc w:val="center"/>
              <w:rPr>
                <w:rFonts w:eastAsia="Times New Roman" w:cs="Calibri Light"/>
                <w:color w:val="000000"/>
                <w:sz w:val="20"/>
                <w:szCs w:val="20"/>
              </w:rPr>
            </w:pPr>
            <w:r w:rsidRPr="001A2534">
              <w:rPr>
                <w:rFonts w:cs="Calibri"/>
                <w:sz w:val="20"/>
                <w:szCs w:val="20"/>
              </w:rPr>
              <w:t>55.8</w:t>
            </w:r>
          </w:p>
        </w:tc>
        <w:tc>
          <w:tcPr>
            <w:tcW w:w="2607" w:type="dxa"/>
            <w:vMerge/>
            <w:tcBorders>
              <w:left w:val="single" w:sz="4" w:space="0" w:color="A6A6A6" w:themeColor="background1" w:themeShade="A6"/>
              <w:right w:val="single" w:sz="4" w:space="0" w:color="A6A6A6" w:themeColor="background1" w:themeShade="A6"/>
            </w:tcBorders>
          </w:tcPr>
          <w:p w14:paraId="7E6BEE09" w14:textId="77777777" w:rsidR="00837472" w:rsidRPr="001A2534" w:rsidRDefault="00837472" w:rsidP="009C3D9D">
            <w:pPr>
              <w:spacing w:before="0" w:after="0" w:line="240" w:lineRule="auto"/>
              <w:jc w:val="center"/>
              <w:rPr>
                <w:rFonts w:cs="Calibri"/>
                <w:sz w:val="20"/>
                <w:szCs w:val="20"/>
              </w:rPr>
            </w:pPr>
          </w:p>
        </w:tc>
      </w:tr>
      <w:tr w:rsidR="00837472" w:rsidRPr="00BA632F" w14:paraId="606DE1C0"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1444239A" w14:textId="77777777" w:rsidR="00837472" w:rsidRPr="001A2534" w:rsidRDefault="00837472" w:rsidP="009C3D9D">
            <w:pPr>
              <w:spacing w:before="0" w:after="0" w:line="240" w:lineRule="auto"/>
              <w:rPr>
                <w:sz w:val="20"/>
                <w:szCs w:val="20"/>
              </w:rPr>
            </w:pPr>
            <w:r>
              <w:rPr>
                <w:rFonts w:cs="Calibri"/>
                <w:sz w:val="20"/>
                <w:szCs w:val="20"/>
              </w:rPr>
              <w:t>CZ</w:t>
            </w:r>
            <w:r w:rsidRPr="001A2534">
              <w:rPr>
                <w:rFonts w:cs="Calibri"/>
                <w:sz w:val="20"/>
                <w:szCs w:val="20"/>
              </w:rPr>
              <w:t xml:space="preserve"> 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15169521" w14:textId="77777777" w:rsidR="00837472" w:rsidRPr="001A2534" w:rsidRDefault="00837472" w:rsidP="009C3D9D">
            <w:pPr>
              <w:spacing w:before="0" w:after="0" w:line="240" w:lineRule="auto"/>
              <w:jc w:val="center"/>
              <w:rPr>
                <w:rFonts w:eastAsia="Times New Roman" w:cs="Calibri Light"/>
                <w:color w:val="000000"/>
                <w:sz w:val="20"/>
                <w:szCs w:val="20"/>
              </w:rPr>
            </w:pPr>
            <w:r w:rsidRPr="001A2534">
              <w:rPr>
                <w:rFonts w:cs="Calibri"/>
                <w:sz w:val="20"/>
                <w:szCs w:val="20"/>
              </w:rPr>
              <w:t>61.</w:t>
            </w:r>
            <w:r>
              <w:rPr>
                <w:rFonts w:cs="Calibri"/>
                <w:sz w:val="20"/>
                <w:szCs w:val="20"/>
              </w:rPr>
              <w:t>8</w:t>
            </w:r>
          </w:p>
        </w:tc>
        <w:tc>
          <w:tcPr>
            <w:tcW w:w="2607" w:type="dxa"/>
            <w:vMerge/>
            <w:tcBorders>
              <w:left w:val="single" w:sz="4" w:space="0" w:color="A6A6A6" w:themeColor="background1" w:themeShade="A6"/>
              <w:right w:val="single" w:sz="4" w:space="0" w:color="A6A6A6" w:themeColor="background1" w:themeShade="A6"/>
            </w:tcBorders>
          </w:tcPr>
          <w:p w14:paraId="7CB90125" w14:textId="77777777" w:rsidR="00837472" w:rsidRPr="001A2534" w:rsidRDefault="00837472" w:rsidP="009C3D9D">
            <w:pPr>
              <w:spacing w:before="0" w:after="0" w:line="240" w:lineRule="auto"/>
              <w:jc w:val="center"/>
              <w:rPr>
                <w:rFonts w:cs="Calibri"/>
                <w:sz w:val="20"/>
                <w:szCs w:val="20"/>
              </w:rPr>
            </w:pPr>
          </w:p>
        </w:tc>
      </w:tr>
      <w:tr w:rsidR="00837472" w:rsidRPr="00BA632F" w14:paraId="50D7A576" w14:textId="77777777" w:rsidTr="00837472">
        <w:trPr>
          <w:cantSplit/>
          <w:trHeight w:val="27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27A5F95" w14:textId="77777777" w:rsidR="00837472" w:rsidRPr="001A2534" w:rsidRDefault="00837472" w:rsidP="009C3D9D">
            <w:pPr>
              <w:spacing w:before="0" w:after="0" w:line="240" w:lineRule="auto"/>
              <w:rPr>
                <w:rFonts w:eastAsia="Times New Roman" w:cs="Calibri Light"/>
                <w:color w:val="000000"/>
                <w:sz w:val="20"/>
                <w:szCs w:val="20"/>
              </w:rPr>
            </w:pPr>
            <w:r>
              <w:rPr>
                <w:rFonts w:cs="Calibri"/>
                <w:sz w:val="20"/>
                <w:szCs w:val="20"/>
              </w:rPr>
              <w:t>CZ</w:t>
            </w:r>
            <w:r w:rsidRPr="001A2534">
              <w:rPr>
                <w:rFonts w:cs="Calibri"/>
                <w:sz w:val="20"/>
                <w:szCs w:val="20"/>
              </w:rPr>
              <w:t xml:space="preserve"> 7</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BB1D95A" w14:textId="77777777" w:rsidR="00837472" w:rsidRPr="001A2534" w:rsidRDefault="00837472" w:rsidP="009C3D9D">
            <w:pPr>
              <w:spacing w:before="0" w:after="0" w:line="240" w:lineRule="auto"/>
              <w:jc w:val="center"/>
              <w:rPr>
                <w:rFonts w:eastAsia="Times New Roman" w:cs="Calibri Light"/>
                <w:color w:val="000000"/>
                <w:sz w:val="20"/>
                <w:szCs w:val="20"/>
              </w:rPr>
            </w:pPr>
            <w:r w:rsidRPr="001A2534">
              <w:rPr>
                <w:rFonts w:cs="Calibri"/>
                <w:sz w:val="20"/>
                <w:szCs w:val="20"/>
              </w:rPr>
              <w:t>62.</w:t>
            </w:r>
            <w:r>
              <w:rPr>
                <w:rFonts w:cs="Calibri"/>
                <w:sz w:val="20"/>
                <w:szCs w:val="20"/>
              </w:rPr>
              <w:t>6</w:t>
            </w:r>
          </w:p>
        </w:tc>
        <w:tc>
          <w:tcPr>
            <w:tcW w:w="2607" w:type="dxa"/>
            <w:vMerge/>
            <w:tcBorders>
              <w:left w:val="single" w:sz="4" w:space="0" w:color="A6A6A6" w:themeColor="background1" w:themeShade="A6"/>
              <w:right w:val="single" w:sz="4" w:space="0" w:color="A6A6A6" w:themeColor="background1" w:themeShade="A6"/>
            </w:tcBorders>
          </w:tcPr>
          <w:p w14:paraId="3D892184" w14:textId="77777777" w:rsidR="00837472" w:rsidRPr="001A2534" w:rsidRDefault="00837472" w:rsidP="009C3D9D">
            <w:pPr>
              <w:spacing w:before="0" w:after="0" w:line="240" w:lineRule="auto"/>
              <w:jc w:val="center"/>
              <w:rPr>
                <w:rFonts w:cs="Calibri"/>
                <w:sz w:val="20"/>
                <w:szCs w:val="20"/>
              </w:rPr>
            </w:pPr>
          </w:p>
        </w:tc>
      </w:tr>
      <w:tr w:rsidR="00837472" w:rsidRPr="00BA632F" w14:paraId="562CE84C"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BF377E8" w14:textId="77777777" w:rsidR="00837472" w:rsidRPr="001A2534" w:rsidRDefault="00837472" w:rsidP="009C3D9D">
            <w:pPr>
              <w:spacing w:before="0" w:after="0" w:line="240" w:lineRule="auto"/>
              <w:rPr>
                <w:sz w:val="20"/>
                <w:szCs w:val="20"/>
              </w:rPr>
            </w:pPr>
            <w:r>
              <w:rPr>
                <w:rFonts w:cs="Calibri"/>
                <w:sz w:val="20"/>
                <w:szCs w:val="20"/>
              </w:rPr>
              <w:t>CZ</w:t>
            </w:r>
            <w:r w:rsidRPr="001A2534">
              <w:rPr>
                <w:rFonts w:cs="Calibri"/>
                <w:sz w:val="20"/>
                <w:szCs w:val="20"/>
              </w:rPr>
              <w:t xml:space="preserve"> 8</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64BE988" w14:textId="77777777" w:rsidR="00837472" w:rsidRPr="001A2534" w:rsidRDefault="00837472" w:rsidP="009C3D9D">
            <w:pPr>
              <w:spacing w:before="0" w:after="0" w:line="240" w:lineRule="auto"/>
              <w:jc w:val="center"/>
              <w:rPr>
                <w:rFonts w:eastAsia="Times New Roman" w:cs="Calibri Light"/>
                <w:color w:val="000000"/>
                <w:sz w:val="20"/>
                <w:szCs w:val="20"/>
              </w:rPr>
            </w:pPr>
            <w:r w:rsidRPr="001A2534">
              <w:rPr>
                <w:rFonts w:cs="Calibri"/>
                <w:sz w:val="20"/>
                <w:szCs w:val="20"/>
              </w:rPr>
              <w:t>63.7</w:t>
            </w:r>
          </w:p>
        </w:tc>
        <w:tc>
          <w:tcPr>
            <w:tcW w:w="2607" w:type="dxa"/>
            <w:vMerge/>
            <w:tcBorders>
              <w:left w:val="single" w:sz="4" w:space="0" w:color="A6A6A6" w:themeColor="background1" w:themeShade="A6"/>
              <w:right w:val="single" w:sz="4" w:space="0" w:color="A6A6A6" w:themeColor="background1" w:themeShade="A6"/>
            </w:tcBorders>
          </w:tcPr>
          <w:p w14:paraId="0EAB2165" w14:textId="77777777" w:rsidR="00837472" w:rsidRPr="001A2534" w:rsidRDefault="00837472" w:rsidP="009C3D9D">
            <w:pPr>
              <w:spacing w:before="0" w:after="0" w:line="240" w:lineRule="auto"/>
              <w:jc w:val="center"/>
              <w:rPr>
                <w:rFonts w:cs="Calibri"/>
                <w:sz w:val="20"/>
                <w:szCs w:val="20"/>
              </w:rPr>
            </w:pPr>
          </w:p>
        </w:tc>
      </w:tr>
      <w:tr w:rsidR="00837472" w:rsidRPr="00BA632F" w14:paraId="14EF1D45"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60889DB" w14:textId="0E4A5A60"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9</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09D7AAA" w14:textId="3E6F1AB1" w:rsidR="00837472" w:rsidRPr="00837472" w:rsidRDefault="00837472" w:rsidP="009C3D9D">
            <w:pPr>
              <w:spacing w:before="0" w:after="0" w:line="240" w:lineRule="auto"/>
              <w:jc w:val="center"/>
              <w:rPr>
                <w:rFonts w:cs="Calibri"/>
                <w:sz w:val="20"/>
                <w:szCs w:val="20"/>
              </w:rPr>
            </w:pPr>
            <w:r w:rsidRPr="001A2534">
              <w:rPr>
                <w:rFonts w:cs="Calibri"/>
                <w:sz w:val="20"/>
                <w:szCs w:val="20"/>
              </w:rPr>
              <w:t>63.8</w:t>
            </w:r>
          </w:p>
        </w:tc>
        <w:tc>
          <w:tcPr>
            <w:tcW w:w="2607" w:type="dxa"/>
            <w:vMerge/>
            <w:tcBorders>
              <w:left w:val="single" w:sz="4" w:space="0" w:color="A6A6A6" w:themeColor="background1" w:themeShade="A6"/>
              <w:right w:val="single" w:sz="4" w:space="0" w:color="A6A6A6" w:themeColor="background1" w:themeShade="A6"/>
            </w:tcBorders>
          </w:tcPr>
          <w:p w14:paraId="48F90985" w14:textId="54501E30" w:rsidR="00837472" w:rsidRPr="00B853CA" w:rsidRDefault="00837472" w:rsidP="009C3D9D">
            <w:pPr>
              <w:spacing w:before="0" w:after="0" w:line="240" w:lineRule="auto"/>
              <w:rPr>
                <w:rFonts w:cs="Calibri"/>
                <w:sz w:val="18"/>
                <w:szCs w:val="20"/>
              </w:rPr>
            </w:pPr>
          </w:p>
        </w:tc>
      </w:tr>
      <w:tr w:rsidR="00837472" w:rsidRPr="00BA632F" w14:paraId="745A7C32"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4428D66" w14:textId="420D80C0"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10</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83757C5" w14:textId="7AE4764D" w:rsidR="00837472" w:rsidRPr="00837472" w:rsidRDefault="00837472" w:rsidP="009C3D9D">
            <w:pPr>
              <w:spacing w:before="0" w:after="0" w:line="240" w:lineRule="auto"/>
              <w:jc w:val="center"/>
              <w:rPr>
                <w:rFonts w:cs="Calibri"/>
                <w:sz w:val="20"/>
                <w:szCs w:val="20"/>
              </w:rPr>
            </w:pPr>
            <w:r w:rsidRPr="001A2534">
              <w:rPr>
                <w:rFonts w:cs="Calibri"/>
                <w:sz w:val="20"/>
                <w:szCs w:val="20"/>
              </w:rPr>
              <w:t>64.</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336993DE" w14:textId="77777777" w:rsidR="00837472" w:rsidRPr="001A2534" w:rsidRDefault="00837472" w:rsidP="009C3D9D">
            <w:pPr>
              <w:spacing w:before="0" w:after="0" w:line="240" w:lineRule="auto"/>
              <w:jc w:val="center"/>
              <w:rPr>
                <w:rFonts w:cs="Calibri"/>
                <w:sz w:val="20"/>
                <w:szCs w:val="20"/>
              </w:rPr>
            </w:pPr>
          </w:p>
        </w:tc>
      </w:tr>
      <w:tr w:rsidR="00837472" w:rsidRPr="00BA632F" w14:paraId="7A453D09"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E5B6E1E" w14:textId="47DBF068"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249C5ABA" w14:textId="0AEBF041" w:rsidR="00837472" w:rsidRPr="00837472" w:rsidRDefault="00837472" w:rsidP="009C3D9D">
            <w:pPr>
              <w:spacing w:before="0" w:after="0" w:line="240" w:lineRule="auto"/>
              <w:jc w:val="center"/>
              <w:rPr>
                <w:rFonts w:cs="Calibri"/>
                <w:sz w:val="20"/>
                <w:szCs w:val="20"/>
              </w:rPr>
            </w:pPr>
            <w:r w:rsidRPr="001A2534">
              <w:rPr>
                <w:rFonts w:cs="Calibri"/>
                <w:sz w:val="20"/>
                <w:szCs w:val="20"/>
              </w:rPr>
              <w:t>63.</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7C378DBB" w14:textId="77777777" w:rsidR="00837472" w:rsidRPr="001A2534" w:rsidRDefault="00837472" w:rsidP="009C3D9D">
            <w:pPr>
              <w:spacing w:before="0" w:after="0" w:line="240" w:lineRule="auto"/>
              <w:jc w:val="center"/>
              <w:rPr>
                <w:rFonts w:cs="Calibri"/>
                <w:sz w:val="20"/>
                <w:szCs w:val="20"/>
              </w:rPr>
            </w:pPr>
          </w:p>
        </w:tc>
      </w:tr>
      <w:tr w:rsidR="00837472" w:rsidRPr="00BA632F" w14:paraId="69D3B89D"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D437715" w14:textId="19DA27A0"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03C415D" w14:textId="5FE75EB5" w:rsidR="00837472" w:rsidRPr="00837472" w:rsidRDefault="00837472" w:rsidP="009C3D9D">
            <w:pPr>
              <w:spacing w:before="0" w:after="0" w:line="240" w:lineRule="auto"/>
              <w:jc w:val="center"/>
              <w:rPr>
                <w:rFonts w:cs="Calibri"/>
                <w:sz w:val="20"/>
                <w:szCs w:val="20"/>
              </w:rPr>
            </w:pPr>
            <w:r w:rsidRPr="001A2534">
              <w:rPr>
                <w:rFonts w:cs="Calibri"/>
                <w:sz w:val="20"/>
                <w:szCs w:val="20"/>
              </w:rPr>
              <w:t>60.</w:t>
            </w:r>
            <w:r>
              <w:rPr>
                <w:rFonts w:cs="Calibri"/>
                <w:sz w:val="20"/>
                <w:szCs w:val="20"/>
              </w:rPr>
              <w:t>9</w:t>
            </w:r>
          </w:p>
        </w:tc>
        <w:tc>
          <w:tcPr>
            <w:tcW w:w="2607" w:type="dxa"/>
            <w:vMerge/>
            <w:tcBorders>
              <w:left w:val="single" w:sz="4" w:space="0" w:color="A6A6A6" w:themeColor="background1" w:themeShade="A6"/>
              <w:right w:val="single" w:sz="4" w:space="0" w:color="A6A6A6" w:themeColor="background1" w:themeShade="A6"/>
            </w:tcBorders>
          </w:tcPr>
          <w:p w14:paraId="555CF299" w14:textId="77777777" w:rsidR="00837472" w:rsidRPr="001A2534" w:rsidRDefault="00837472" w:rsidP="009C3D9D">
            <w:pPr>
              <w:spacing w:before="0" w:after="0" w:line="240" w:lineRule="auto"/>
              <w:jc w:val="center"/>
              <w:rPr>
                <w:rFonts w:cs="Calibri"/>
                <w:sz w:val="20"/>
                <w:szCs w:val="20"/>
              </w:rPr>
            </w:pPr>
          </w:p>
        </w:tc>
      </w:tr>
      <w:tr w:rsidR="00837472" w:rsidRPr="00BA632F" w14:paraId="69D77AD2"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A5E417D" w14:textId="287CA712"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D034C2E" w14:textId="26F00A37" w:rsidR="00837472" w:rsidRPr="00837472" w:rsidRDefault="00837472" w:rsidP="009C3D9D">
            <w:pPr>
              <w:spacing w:before="0" w:after="0" w:line="240" w:lineRule="auto"/>
              <w:jc w:val="center"/>
              <w:rPr>
                <w:rFonts w:cs="Calibri"/>
                <w:sz w:val="20"/>
                <w:szCs w:val="20"/>
              </w:rPr>
            </w:pPr>
            <w:r w:rsidRPr="001A2534">
              <w:rPr>
                <w:rFonts w:cs="Calibri"/>
                <w:sz w:val="20"/>
                <w:szCs w:val="20"/>
              </w:rPr>
              <w:t>64.1</w:t>
            </w:r>
          </w:p>
        </w:tc>
        <w:tc>
          <w:tcPr>
            <w:tcW w:w="2607" w:type="dxa"/>
            <w:vMerge/>
            <w:tcBorders>
              <w:left w:val="single" w:sz="4" w:space="0" w:color="A6A6A6" w:themeColor="background1" w:themeShade="A6"/>
              <w:right w:val="single" w:sz="4" w:space="0" w:color="A6A6A6" w:themeColor="background1" w:themeShade="A6"/>
            </w:tcBorders>
          </w:tcPr>
          <w:p w14:paraId="64AA06E5" w14:textId="77777777" w:rsidR="00837472" w:rsidRPr="001A2534" w:rsidRDefault="00837472" w:rsidP="009C3D9D">
            <w:pPr>
              <w:spacing w:before="0" w:after="0" w:line="240" w:lineRule="auto"/>
              <w:jc w:val="center"/>
              <w:rPr>
                <w:rFonts w:cs="Calibri"/>
                <w:sz w:val="20"/>
                <w:szCs w:val="20"/>
              </w:rPr>
            </w:pPr>
          </w:p>
        </w:tc>
      </w:tr>
      <w:tr w:rsidR="00837472" w:rsidRPr="00BA632F" w14:paraId="70E7BFAF"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A8FBF41" w14:textId="5241E8A9"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7A8E8D8" w14:textId="78EB6D7E" w:rsidR="00837472" w:rsidRPr="00837472" w:rsidRDefault="00837472" w:rsidP="009C3D9D">
            <w:pPr>
              <w:spacing w:before="0" w:after="0" w:line="240" w:lineRule="auto"/>
              <w:jc w:val="center"/>
              <w:rPr>
                <w:rFonts w:cs="Calibri"/>
                <w:sz w:val="20"/>
                <w:szCs w:val="20"/>
              </w:rPr>
            </w:pPr>
            <w:r w:rsidRPr="001A2534">
              <w:rPr>
                <w:rFonts w:cs="Calibri"/>
                <w:sz w:val="20"/>
                <w:szCs w:val="20"/>
              </w:rPr>
              <w:t>62.</w:t>
            </w:r>
            <w:r>
              <w:rPr>
                <w:rFonts w:cs="Calibri"/>
                <w:sz w:val="20"/>
                <w:szCs w:val="20"/>
              </w:rPr>
              <w:t>7</w:t>
            </w:r>
          </w:p>
        </w:tc>
        <w:tc>
          <w:tcPr>
            <w:tcW w:w="2607" w:type="dxa"/>
            <w:vMerge/>
            <w:tcBorders>
              <w:left w:val="single" w:sz="4" w:space="0" w:color="A6A6A6" w:themeColor="background1" w:themeShade="A6"/>
              <w:right w:val="single" w:sz="4" w:space="0" w:color="A6A6A6" w:themeColor="background1" w:themeShade="A6"/>
            </w:tcBorders>
          </w:tcPr>
          <w:p w14:paraId="16B32038" w14:textId="77777777" w:rsidR="00837472" w:rsidRPr="001A2534" w:rsidRDefault="00837472" w:rsidP="009C3D9D">
            <w:pPr>
              <w:spacing w:before="0" w:after="0" w:line="240" w:lineRule="auto"/>
              <w:jc w:val="center"/>
              <w:rPr>
                <w:rFonts w:cs="Calibri"/>
                <w:sz w:val="20"/>
                <w:szCs w:val="20"/>
              </w:rPr>
            </w:pPr>
          </w:p>
        </w:tc>
      </w:tr>
      <w:tr w:rsidR="00837472" w:rsidRPr="00BA632F" w14:paraId="520C4357" w14:textId="77777777" w:rsidTr="00876683">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5B19763" w14:textId="41B89A70"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909595B" w14:textId="21D67046" w:rsidR="00837472" w:rsidRPr="00837472" w:rsidRDefault="00837472" w:rsidP="009C3D9D">
            <w:pPr>
              <w:spacing w:before="0" w:after="0" w:line="240" w:lineRule="auto"/>
              <w:jc w:val="center"/>
              <w:rPr>
                <w:rFonts w:cs="Calibri"/>
                <w:sz w:val="20"/>
                <w:szCs w:val="20"/>
              </w:rPr>
            </w:pPr>
            <w:r w:rsidRPr="001A2534">
              <w:rPr>
                <w:rFonts w:cs="Calibri"/>
                <w:sz w:val="20"/>
                <w:szCs w:val="20"/>
              </w:rPr>
              <w:t>75.</w:t>
            </w:r>
            <w:r>
              <w:rPr>
                <w:rFonts w:cs="Calibri"/>
                <w:sz w:val="20"/>
                <w:szCs w:val="20"/>
              </w:rPr>
              <w:t>5</w:t>
            </w:r>
          </w:p>
        </w:tc>
        <w:tc>
          <w:tcPr>
            <w:tcW w:w="2607" w:type="dxa"/>
            <w:vMerge/>
            <w:tcBorders>
              <w:left w:val="single" w:sz="4" w:space="0" w:color="A6A6A6" w:themeColor="background1" w:themeShade="A6"/>
              <w:right w:val="single" w:sz="4" w:space="0" w:color="A6A6A6" w:themeColor="background1" w:themeShade="A6"/>
            </w:tcBorders>
          </w:tcPr>
          <w:p w14:paraId="06D91BCD" w14:textId="77777777" w:rsidR="00837472" w:rsidRPr="001A2534" w:rsidRDefault="00837472" w:rsidP="009C3D9D">
            <w:pPr>
              <w:spacing w:before="0" w:after="0" w:line="240" w:lineRule="auto"/>
              <w:jc w:val="center"/>
              <w:rPr>
                <w:rFonts w:cs="Calibri"/>
                <w:sz w:val="20"/>
                <w:szCs w:val="20"/>
              </w:rPr>
            </w:pPr>
          </w:p>
        </w:tc>
      </w:tr>
      <w:tr w:rsidR="00837472" w:rsidRPr="00BA632F" w14:paraId="3C3D4B47" w14:textId="77777777" w:rsidTr="00837472">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B803F77" w14:textId="56EF28C3" w:rsidR="00837472" w:rsidRPr="00837472" w:rsidRDefault="00837472" w:rsidP="009C3D9D">
            <w:pPr>
              <w:spacing w:before="0" w:after="0" w:line="240" w:lineRule="auto"/>
              <w:rPr>
                <w:rFonts w:cs="Calibri"/>
                <w:sz w:val="20"/>
                <w:szCs w:val="20"/>
              </w:rPr>
            </w:pPr>
            <w:r>
              <w:rPr>
                <w:rFonts w:cs="Calibri"/>
                <w:sz w:val="20"/>
                <w:szCs w:val="20"/>
              </w:rPr>
              <w:t>CZ</w:t>
            </w:r>
            <w:r w:rsidRPr="001A2534">
              <w:rPr>
                <w:rFonts w:cs="Calibri"/>
                <w:sz w:val="20"/>
                <w:szCs w:val="20"/>
              </w:rPr>
              <w:t xml:space="preserve"> 16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20F906C" w14:textId="6297D4D0" w:rsidR="00837472" w:rsidRPr="00837472" w:rsidRDefault="00837472" w:rsidP="009C3D9D">
            <w:pPr>
              <w:spacing w:before="0" w:after="0" w:line="240" w:lineRule="auto"/>
              <w:jc w:val="center"/>
              <w:rPr>
                <w:rFonts w:cs="Calibri"/>
                <w:sz w:val="20"/>
                <w:szCs w:val="20"/>
              </w:rPr>
            </w:pPr>
            <w:r w:rsidRPr="001A2534">
              <w:rPr>
                <w:rFonts w:cs="Calibri"/>
                <w:sz w:val="20"/>
                <w:szCs w:val="20"/>
              </w:rPr>
              <w:t>51.</w:t>
            </w:r>
            <w:r>
              <w:rPr>
                <w:rFonts w:cs="Calibri"/>
                <w:sz w:val="20"/>
                <w:szCs w:val="20"/>
              </w:rPr>
              <w:t>8</w:t>
            </w:r>
          </w:p>
        </w:tc>
        <w:tc>
          <w:tcPr>
            <w:tcW w:w="26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3EE0417E" w14:textId="77777777" w:rsidR="00837472" w:rsidRPr="001A2534" w:rsidRDefault="00837472" w:rsidP="009C3D9D">
            <w:pPr>
              <w:spacing w:before="0" w:after="0" w:line="240" w:lineRule="auto"/>
              <w:jc w:val="center"/>
              <w:rPr>
                <w:rFonts w:cs="Calibri"/>
                <w:sz w:val="20"/>
                <w:szCs w:val="20"/>
              </w:rPr>
            </w:pPr>
          </w:p>
        </w:tc>
      </w:tr>
    </w:tbl>
    <w:p w14:paraId="3E967AEF" w14:textId="489D8199" w:rsidR="00B20B50" w:rsidRDefault="00B20B50" w:rsidP="009C3D9D"/>
    <w:p w14:paraId="4DDCD51F" w14:textId="4A344DF6" w:rsidR="007D230B" w:rsidRPr="004B06E3" w:rsidRDefault="00245AFF" w:rsidP="00462BB6">
      <w:pPr>
        <w:pStyle w:val="eTRMHeading3"/>
      </w:pPr>
      <w:bookmarkStart w:id="84" w:name="_Toc12567169"/>
      <w:bookmarkEnd w:id="83"/>
      <w:r w:rsidRPr="004B06E3">
        <w:lastRenderedPageBreak/>
        <w:t>Life Cycle</w:t>
      </w:r>
      <w:bookmarkEnd w:id="84"/>
      <w:r w:rsidR="007D230B" w:rsidRPr="004B06E3">
        <w:t xml:space="preserve"> </w:t>
      </w:r>
      <w:bookmarkEnd w:id="52"/>
      <w:bookmarkEnd w:id="53"/>
    </w:p>
    <w:p w14:paraId="3CEB8572" w14:textId="126052FC" w:rsidR="00B67371" w:rsidRDefault="00A3283A" w:rsidP="00B67371">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rsidRPr="00A3283A">
        <w:t xml:space="preserve"> </w:t>
      </w:r>
    </w:p>
    <w:p w14:paraId="326B4B0B" w14:textId="740A691C" w:rsidR="00B67371" w:rsidRDefault="00B67371" w:rsidP="00B67371">
      <w:r>
        <w:rPr>
          <w:rFonts w:eastAsia="Times New Roman"/>
        </w:rPr>
        <w:t>A</w:t>
      </w:r>
      <w:r w:rsidRPr="00951F20">
        <w:t>s per Resolution E-4807, the California Public Utilities Commission (CPUC)</w:t>
      </w:r>
      <w:r>
        <w:t xml:space="preserve"> defined the EUL of </w:t>
      </w:r>
      <w:r w:rsidR="006D5815">
        <w:t>add-on equipment</w:t>
      </w:r>
      <w:r>
        <w:t xml:space="preserve"> as the minimum of the EUL of the measure itself and the RUL of the host equipment.</w:t>
      </w:r>
      <w:r>
        <w:rPr>
          <w:rStyle w:val="FootnoteReference"/>
        </w:rPr>
        <w:footnoteReference w:id="8"/>
      </w:r>
      <w:r>
        <w:t xml:space="preserve"> T</w:t>
      </w:r>
      <w:r>
        <w:rPr>
          <w:rFonts w:cs="Arial"/>
        </w:rPr>
        <w:t>he methodology to calculate the RUL conforms with Version 5 of the Energy Efficiency Policy Manual, which recommends “o</w:t>
      </w:r>
      <w:r>
        <w:t xml:space="preserve">ne-third of the effective useful life in DEER as the remaining useful life until further study results are available to establish more accurate values.” </w:t>
      </w:r>
      <w:r w:rsidRPr="008F087F">
        <w:rPr>
          <w:rFonts w:eastAsia="Times New Roman"/>
        </w:rPr>
        <w:t xml:space="preserve">This approach provides a reasonable RUL estimate without the requiring any </w:t>
      </w:r>
      <w:r w:rsidR="0083366B">
        <w:rPr>
          <w:rFonts w:eastAsia="Times New Roman"/>
        </w:rPr>
        <w:t>prior</w:t>
      </w:r>
      <w:r w:rsidRPr="008F087F">
        <w:rPr>
          <w:rFonts w:eastAsia="Times New Roman"/>
        </w:rPr>
        <w:t xml:space="preserve"> knowledge about the age of the equipment being replaced.</w:t>
      </w:r>
      <w:r>
        <w:rPr>
          <w:rStyle w:val="FootnoteReference"/>
          <w:rFonts w:eastAsia="Times New Roman"/>
        </w:rPr>
        <w:footnoteReference w:id="9"/>
      </w:r>
      <w:r w:rsidRPr="00951F20">
        <w:t xml:space="preserve"> </w:t>
      </w:r>
      <w:r>
        <w:t xml:space="preserve">The RUL of the host equipment </w:t>
      </w:r>
      <w:r>
        <w:rPr>
          <w:rFonts w:cs="Arial"/>
        </w:rPr>
        <w:t>(which is a faucet for this particular measure) is therefore calculated as one-third of the EUL of a faucet.</w:t>
      </w:r>
    </w:p>
    <w:p w14:paraId="2BE8EC3E" w14:textId="337C263D" w:rsidR="007D230B" w:rsidRDefault="00A3283A" w:rsidP="004142EF">
      <w:r>
        <w:t xml:space="preserve">The EUL and RUL </w:t>
      </w:r>
      <w:r w:rsidR="00B425AD">
        <w:t>established for</w:t>
      </w:r>
      <w:r w:rsidR="00E75ED7">
        <w:t xml:space="preserve"> this</w:t>
      </w:r>
      <w:r w:rsidR="00B425AD">
        <w:t xml:space="preserve"> low</w:t>
      </w:r>
      <w:r w:rsidR="00E75ED7">
        <w:t>-</w:t>
      </w:r>
      <w:r w:rsidR="00B425AD">
        <w:t>flow aerator</w:t>
      </w:r>
      <w:r w:rsidR="00E75ED7">
        <w:t xml:space="preserve"> measure</w:t>
      </w:r>
      <w:r w:rsidR="00B425AD">
        <w:t xml:space="preserve"> are </w:t>
      </w:r>
      <w:r>
        <w:t xml:space="preserve">specified </w:t>
      </w:r>
      <w:r w:rsidR="0009055D">
        <w:t>below</w:t>
      </w:r>
      <w:r>
        <w:t>.</w:t>
      </w:r>
      <w:r w:rsidR="00793074">
        <w:t xml:space="preserve"> </w:t>
      </w:r>
      <w:r w:rsidR="00793074" w:rsidRPr="00B67371">
        <w:t>The EUL of the aerator and the RUL of the host faucet</w:t>
      </w:r>
      <w:r w:rsidR="00793074">
        <w:t xml:space="preserve"> are adopted for this measure</w:t>
      </w:r>
      <w:r w:rsidR="00793074" w:rsidRPr="00B67371">
        <w:t>.</w:t>
      </w:r>
    </w:p>
    <w:p w14:paraId="7D542FEF" w14:textId="18809115" w:rsidR="00FD2C54" w:rsidRPr="00920905" w:rsidRDefault="00FD2C54" w:rsidP="008560FF">
      <w:pPr>
        <w:pStyle w:val="Caption"/>
      </w:pPr>
      <w:r>
        <w:t>Effective Useful Life</w:t>
      </w:r>
      <w:r w:rsidR="0009055D">
        <w:t xml:space="preserve"> and Remaining Useful Life</w:t>
      </w:r>
    </w:p>
    <w:tbl>
      <w:tblPr>
        <w:tblW w:w="9414"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152"/>
        <w:gridCol w:w="1152"/>
        <w:gridCol w:w="5040"/>
      </w:tblGrid>
      <w:tr w:rsidR="002671D7" w:rsidRPr="00052C24" w14:paraId="4412B448" w14:textId="77777777" w:rsidTr="009103B6">
        <w:trPr>
          <w:trHeight w:val="20"/>
        </w:trPr>
        <w:tc>
          <w:tcPr>
            <w:tcW w:w="2070" w:type="dxa"/>
            <w:shd w:val="clear" w:color="auto" w:fill="F2F2F2" w:themeFill="background1" w:themeFillShade="F2"/>
            <w:vAlign w:val="bottom"/>
          </w:tcPr>
          <w:p w14:paraId="5A385D42" w14:textId="77777777" w:rsidR="002671D7" w:rsidRPr="00052C24" w:rsidRDefault="002671D7" w:rsidP="00B67371">
            <w:pPr>
              <w:keepNext/>
              <w:keepLines/>
              <w:spacing w:before="0" w:after="0" w:line="200" w:lineRule="atLeast"/>
              <w:jc w:val="center"/>
              <w:rPr>
                <w:b/>
                <w:sz w:val="20"/>
              </w:rPr>
            </w:pPr>
            <w:bookmarkStart w:id="85" w:name="_Hlk504723428"/>
            <w:r>
              <w:rPr>
                <w:b/>
                <w:sz w:val="20"/>
              </w:rPr>
              <w:t>Parameter</w:t>
            </w:r>
          </w:p>
        </w:tc>
        <w:tc>
          <w:tcPr>
            <w:tcW w:w="1152" w:type="dxa"/>
            <w:shd w:val="clear" w:color="auto" w:fill="F2F2F2" w:themeFill="background1" w:themeFillShade="F2"/>
          </w:tcPr>
          <w:p w14:paraId="155EF78D" w14:textId="15C19F2C" w:rsidR="002671D7" w:rsidRDefault="002671D7" w:rsidP="00B67371">
            <w:pPr>
              <w:keepNext/>
              <w:keepLines/>
              <w:spacing w:before="0" w:after="0" w:line="200" w:lineRule="atLeast"/>
              <w:jc w:val="center"/>
              <w:rPr>
                <w:b/>
                <w:sz w:val="20"/>
              </w:rPr>
            </w:pPr>
            <w:r>
              <w:rPr>
                <w:b/>
                <w:sz w:val="20"/>
              </w:rPr>
              <w:t>Gas</w:t>
            </w:r>
          </w:p>
        </w:tc>
        <w:tc>
          <w:tcPr>
            <w:tcW w:w="1152" w:type="dxa"/>
            <w:shd w:val="clear" w:color="auto" w:fill="F2F2F2" w:themeFill="background1" w:themeFillShade="F2"/>
            <w:vAlign w:val="bottom"/>
          </w:tcPr>
          <w:p w14:paraId="2935C84A" w14:textId="563ECA7A" w:rsidR="002671D7" w:rsidRPr="00052C24" w:rsidRDefault="002671D7" w:rsidP="00B67371">
            <w:pPr>
              <w:keepNext/>
              <w:keepLines/>
              <w:spacing w:before="0" w:after="0" w:line="200" w:lineRule="atLeast"/>
              <w:jc w:val="center"/>
              <w:rPr>
                <w:b/>
                <w:sz w:val="20"/>
              </w:rPr>
            </w:pPr>
            <w:r>
              <w:rPr>
                <w:b/>
                <w:sz w:val="20"/>
              </w:rPr>
              <w:t>Electric</w:t>
            </w:r>
          </w:p>
        </w:tc>
        <w:tc>
          <w:tcPr>
            <w:tcW w:w="5040" w:type="dxa"/>
            <w:shd w:val="clear" w:color="auto" w:fill="F2F2F2" w:themeFill="background1" w:themeFillShade="F2"/>
            <w:vAlign w:val="bottom"/>
          </w:tcPr>
          <w:p w14:paraId="0F517C1A" w14:textId="77777777" w:rsidR="002671D7" w:rsidRDefault="002671D7" w:rsidP="00B67371">
            <w:pPr>
              <w:keepNext/>
              <w:keepLines/>
              <w:spacing w:before="0" w:after="0" w:line="200" w:lineRule="atLeast"/>
              <w:jc w:val="center"/>
              <w:rPr>
                <w:b/>
                <w:sz w:val="20"/>
              </w:rPr>
            </w:pPr>
            <w:r>
              <w:rPr>
                <w:b/>
                <w:sz w:val="20"/>
              </w:rPr>
              <w:t>Source</w:t>
            </w:r>
          </w:p>
        </w:tc>
      </w:tr>
      <w:tr w:rsidR="002671D7" w:rsidRPr="00052C24" w14:paraId="5D090632" w14:textId="77777777" w:rsidTr="009103B6">
        <w:trPr>
          <w:trHeight w:val="20"/>
        </w:trPr>
        <w:tc>
          <w:tcPr>
            <w:tcW w:w="2070" w:type="dxa"/>
            <w:vAlign w:val="center"/>
          </w:tcPr>
          <w:p w14:paraId="373DC82D" w14:textId="7BC40964" w:rsidR="002671D7" w:rsidRPr="00C45400" w:rsidRDefault="002671D7" w:rsidP="00B67371">
            <w:pPr>
              <w:keepNext/>
              <w:keepLines/>
              <w:spacing w:before="0" w:after="0" w:line="200" w:lineRule="atLeast"/>
              <w:rPr>
                <w:sz w:val="20"/>
              </w:rPr>
            </w:pPr>
            <w:r>
              <w:rPr>
                <w:sz w:val="20"/>
              </w:rPr>
              <w:t>EUL (</w:t>
            </w:r>
            <w:proofErr w:type="spellStart"/>
            <w:r>
              <w:rPr>
                <w:sz w:val="20"/>
              </w:rPr>
              <w:t>yrs</w:t>
            </w:r>
            <w:proofErr w:type="spellEnd"/>
            <w:r>
              <w:rPr>
                <w:sz w:val="20"/>
              </w:rPr>
              <w:t xml:space="preserve">) </w:t>
            </w:r>
            <w:r w:rsidR="00180964">
              <w:rPr>
                <w:sz w:val="20"/>
              </w:rPr>
              <w:t>–</w:t>
            </w:r>
            <w:r>
              <w:rPr>
                <w:sz w:val="20"/>
              </w:rPr>
              <w:t xml:space="preserve"> aerator</w:t>
            </w:r>
          </w:p>
        </w:tc>
        <w:tc>
          <w:tcPr>
            <w:tcW w:w="1152" w:type="dxa"/>
            <w:vAlign w:val="center"/>
          </w:tcPr>
          <w:p w14:paraId="16FAC9E1" w14:textId="5C62AF8A" w:rsidR="002671D7" w:rsidRPr="00BE6116" w:rsidRDefault="00824530" w:rsidP="00B67371">
            <w:pPr>
              <w:keepNext/>
              <w:keepLines/>
              <w:spacing w:before="0" w:after="0" w:line="200" w:lineRule="atLeast"/>
              <w:jc w:val="right"/>
              <w:rPr>
                <w:sz w:val="20"/>
              </w:rPr>
            </w:pPr>
            <w:r w:rsidRPr="00BE6116">
              <w:rPr>
                <w:sz w:val="20"/>
              </w:rPr>
              <w:t>10.00</w:t>
            </w:r>
          </w:p>
        </w:tc>
        <w:tc>
          <w:tcPr>
            <w:tcW w:w="1152" w:type="dxa"/>
            <w:vAlign w:val="center"/>
          </w:tcPr>
          <w:p w14:paraId="0AE9E5C6" w14:textId="28B0DD75" w:rsidR="002671D7" w:rsidRPr="00BE6116" w:rsidRDefault="00824530" w:rsidP="00B67371">
            <w:pPr>
              <w:keepNext/>
              <w:keepLines/>
              <w:spacing w:before="0" w:after="0" w:line="200" w:lineRule="atLeast"/>
              <w:jc w:val="right"/>
              <w:rPr>
                <w:sz w:val="20"/>
              </w:rPr>
            </w:pPr>
            <w:r w:rsidRPr="00BE6116">
              <w:rPr>
                <w:sz w:val="20"/>
              </w:rPr>
              <w:t>10.00</w:t>
            </w:r>
          </w:p>
        </w:tc>
        <w:tc>
          <w:tcPr>
            <w:tcW w:w="5040" w:type="dxa"/>
            <w:vAlign w:val="center"/>
          </w:tcPr>
          <w:p w14:paraId="4A2087DD" w14:textId="1449B113" w:rsidR="002671D7" w:rsidRPr="003C35ED" w:rsidRDefault="00B67371" w:rsidP="00B67371">
            <w:pPr>
              <w:keepNext/>
              <w:keepLines/>
              <w:spacing w:before="0" w:after="0" w:line="240" w:lineRule="auto"/>
              <w:rPr>
                <w:rFonts w:eastAsia="Times New Roman" w:cs="Times New Roman"/>
                <w:color w:val="000000"/>
                <w:sz w:val="18"/>
                <w:szCs w:val="18"/>
                <w:highlight w:val="yellow"/>
              </w:rPr>
            </w:pPr>
            <w:r w:rsidRPr="003C35ED">
              <w:rPr>
                <w:sz w:val="18"/>
                <w:szCs w:val="18"/>
              </w:rPr>
              <w:t>California Public Utilities Commission (CPUC), Energy Division. 2014. “DEER2014-EUL-table-update_2014-02-05.xlsx”</w:t>
            </w:r>
            <w:r w:rsidR="000708BE" w:rsidRPr="003C35ED">
              <w:rPr>
                <w:rFonts w:eastAsia="Times New Roman" w:cs="Times New Roman"/>
                <w:color w:val="000000"/>
                <w:sz w:val="18"/>
                <w:szCs w:val="18"/>
                <w:highlight w:val="yellow"/>
              </w:rPr>
              <w:t xml:space="preserve"> </w:t>
            </w:r>
          </w:p>
        </w:tc>
      </w:tr>
      <w:tr w:rsidR="008B7F73" w:rsidRPr="00052C24" w14:paraId="490614AC" w14:textId="77777777" w:rsidTr="009103B6">
        <w:trPr>
          <w:trHeight w:val="20"/>
        </w:trPr>
        <w:tc>
          <w:tcPr>
            <w:tcW w:w="2070" w:type="dxa"/>
            <w:vAlign w:val="center"/>
          </w:tcPr>
          <w:p w14:paraId="41CB5D78" w14:textId="77777777" w:rsidR="008B7F73" w:rsidRPr="00C45400" w:rsidRDefault="008B7F73" w:rsidP="00B67371">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r>
              <w:rPr>
                <w:sz w:val="20"/>
              </w:rPr>
              <w:t xml:space="preserve"> – host faucet</w:t>
            </w:r>
          </w:p>
        </w:tc>
        <w:tc>
          <w:tcPr>
            <w:tcW w:w="1152" w:type="dxa"/>
            <w:vAlign w:val="center"/>
          </w:tcPr>
          <w:p w14:paraId="31CD9BD0" w14:textId="77777777" w:rsidR="008B7F73" w:rsidRPr="00BE6116" w:rsidRDefault="008B7F73" w:rsidP="00B67371">
            <w:pPr>
              <w:keepNext/>
              <w:keepLines/>
              <w:spacing w:before="0" w:after="0" w:line="200" w:lineRule="atLeast"/>
              <w:jc w:val="right"/>
              <w:rPr>
                <w:sz w:val="20"/>
              </w:rPr>
            </w:pPr>
            <w:r w:rsidRPr="00BE6116">
              <w:rPr>
                <w:sz w:val="20"/>
              </w:rPr>
              <w:t>20.00</w:t>
            </w:r>
          </w:p>
        </w:tc>
        <w:tc>
          <w:tcPr>
            <w:tcW w:w="1152" w:type="dxa"/>
            <w:vAlign w:val="center"/>
          </w:tcPr>
          <w:p w14:paraId="37DF3E86" w14:textId="77777777" w:rsidR="008B7F73" w:rsidRPr="00BE6116" w:rsidRDefault="008B7F73" w:rsidP="00B67371">
            <w:pPr>
              <w:keepNext/>
              <w:keepLines/>
              <w:spacing w:before="0" w:after="0" w:line="200" w:lineRule="atLeast"/>
              <w:jc w:val="right"/>
              <w:rPr>
                <w:sz w:val="20"/>
              </w:rPr>
            </w:pPr>
            <w:r w:rsidRPr="00BE6116">
              <w:rPr>
                <w:sz w:val="20"/>
              </w:rPr>
              <w:t>20.00</w:t>
            </w:r>
          </w:p>
        </w:tc>
        <w:tc>
          <w:tcPr>
            <w:tcW w:w="5040" w:type="dxa"/>
            <w:vAlign w:val="center"/>
          </w:tcPr>
          <w:p w14:paraId="21855AA9" w14:textId="783C1459" w:rsidR="003C35ED" w:rsidRPr="003C35ED" w:rsidRDefault="003C35ED" w:rsidP="00B67371">
            <w:pPr>
              <w:keepNext/>
              <w:keepLines/>
              <w:spacing w:before="0" w:after="0"/>
              <w:rPr>
                <w:sz w:val="18"/>
                <w:szCs w:val="18"/>
              </w:rPr>
            </w:pPr>
            <w:r w:rsidRPr="003C35ED">
              <w:rPr>
                <w:sz w:val="18"/>
                <w:szCs w:val="18"/>
              </w:rPr>
              <w:t xml:space="preserve">National Association of Home Builders (NAHB) / Bank of America Home Equity. 2007. </w:t>
            </w:r>
            <w:r w:rsidRPr="003C35ED">
              <w:rPr>
                <w:i/>
                <w:sz w:val="18"/>
                <w:szCs w:val="18"/>
              </w:rPr>
              <w:t>Study of Life Expectancy of Home Components.</w:t>
            </w:r>
            <w:r w:rsidRPr="003C35ED">
              <w:rPr>
                <w:sz w:val="18"/>
                <w:szCs w:val="18"/>
              </w:rPr>
              <w:t xml:space="preserve"> Prepared by the Economics Group of NAHB. Page 9.</w:t>
            </w:r>
          </w:p>
          <w:p w14:paraId="33E59A63" w14:textId="77777777" w:rsidR="003C35ED" w:rsidRPr="003C35ED" w:rsidRDefault="003C35ED" w:rsidP="00B67371">
            <w:pPr>
              <w:keepNext/>
              <w:keepLines/>
              <w:spacing w:before="0" w:after="0"/>
              <w:rPr>
                <w:sz w:val="18"/>
                <w:szCs w:val="18"/>
              </w:rPr>
            </w:pPr>
          </w:p>
          <w:p w14:paraId="0A6E6ADB" w14:textId="3A73B2B9" w:rsidR="008B7F73" w:rsidRPr="003C35ED" w:rsidRDefault="003C35ED" w:rsidP="00B67371">
            <w:pPr>
              <w:keepNext/>
              <w:keepLines/>
              <w:spacing w:before="0" w:after="0"/>
              <w:rPr>
                <w:rFonts w:eastAsia="Times New Roman" w:cs="Times New Roman"/>
                <w:color w:val="000000"/>
                <w:sz w:val="18"/>
                <w:szCs w:val="18"/>
              </w:rPr>
            </w:pPr>
            <w:r w:rsidRPr="003C35ED">
              <w:rPr>
                <w:sz w:val="18"/>
                <w:szCs w:val="18"/>
              </w:rPr>
              <w:t>Glacier Bay</w:t>
            </w:r>
            <w:r>
              <w:rPr>
                <w:sz w:val="18"/>
                <w:szCs w:val="18"/>
              </w:rPr>
              <w:t xml:space="preserve">. </w:t>
            </w:r>
            <w:r w:rsidR="00703ED5">
              <w:rPr>
                <w:sz w:val="18"/>
                <w:szCs w:val="18"/>
              </w:rPr>
              <w:t>(n</w:t>
            </w:r>
            <w:r>
              <w:rPr>
                <w:sz w:val="18"/>
                <w:szCs w:val="18"/>
              </w:rPr>
              <w:t>.d.</w:t>
            </w:r>
            <w:r w:rsidR="00703ED5">
              <w:rPr>
                <w:sz w:val="18"/>
                <w:szCs w:val="18"/>
              </w:rPr>
              <w:t>)</w:t>
            </w:r>
            <w:r>
              <w:rPr>
                <w:sz w:val="18"/>
                <w:szCs w:val="18"/>
              </w:rPr>
              <w:t xml:space="preserve"> </w:t>
            </w:r>
            <w:r w:rsidR="0037110F">
              <w:rPr>
                <w:sz w:val="18"/>
                <w:szCs w:val="18"/>
              </w:rPr>
              <w:t>“</w:t>
            </w:r>
            <w:r>
              <w:rPr>
                <w:sz w:val="18"/>
                <w:szCs w:val="18"/>
              </w:rPr>
              <w:t>Glacier Bay Faucets</w:t>
            </w:r>
            <w:r w:rsidRPr="003C35ED">
              <w:rPr>
                <w:sz w:val="18"/>
                <w:szCs w:val="18"/>
              </w:rPr>
              <w:t xml:space="preserve"> 20-year </w:t>
            </w:r>
            <w:r>
              <w:rPr>
                <w:sz w:val="18"/>
                <w:szCs w:val="18"/>
              </w:rPr>
              <w:t>Limited W</w:t>
            </w:r>
            <w:r w:rsidRPr="003C35ED">
              <w:rPr>
                <w:sz w:val="18"/>
                <w:szCs w:val="18"/>
              </w:rPr>
              <w:t>arranty.</w:t>
            </w:r>
            <w:r w:rsidR="0037110F">
              <w:rPr>
                <w:sz w:val="18"/>
                <w:szCs w:val="18"/>
              </w:rPr>
              <w:t>”</w:t>
            </w:r>
            <w:r w:rsidRPr="003C35ED">
              <w:rPr>
                <w:sz w:val="18"/>
                <w:szCs w:val="18"/>
              </w:rPr>
              <w:t xml:space="preserve"> </w:t>
            </w:r>
          </w:p>
        </w:tc>
      </w:tr>
      <w:tr w:rsidR="008B7F73" w:rsidRPr="00052C24" w14:paraId="51B5762B" w14:textId="77777777" w:rsidTr="009103B6">
        <w:trPr>
          <w:trHeight w:val="20"/>
        </w:trPr>
        <w:tc>
          <w:tcPr>
            <w:tcW w:w="2070" w:type="dxa"/>
            <w:vAlign w:val="center"/>
          </w:tcPr>
          <w:p w14:paraId="49513B41" w14:textId="4C6BC319" w:rsidR="008B7F73" w:rsidRPr="00C45400" w:rsidRDefault="008B7F73" w:rsidP="00B67371">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r>
              <w:rPr>
                <w:sz w:val="20"/>
              </w:rPr>
              <w:t xml:space="preserve"> – host faucet</w:t>
            </w:r>
          </w:p>
        </w:tc>
        <w:tc>
          <w:tcPr>
            <w:tcW w:w="1152" w:type="dxa"/>
            <w:vAlign w:val="center"/>
          </w:tcPr>
          <w:p w14:paraId="07EFB658" w14:textId="7B7716BA" w:rsidR="008B7F73" w:rsidRPr="00BE6116" w:rsidRDefault="008B7F73" w:rsidP="00B67371">
            <w:pPr>
              <w:keepNext/>
              <w:keepLines/>
              <w:spacing w:before="0" w:after="0" w:line="200" w:lineRule="atLeast"/>
              <w:jc w:val="right"/>
              <w:rPr>
                <w:sz w:val="20"/>
              </w:rPr>
            </w:pPr>
            <w:r w:rsidRPr="00BE6116">
              <w:rPr>
                <w:sz w:val="20"/>
              </w:rPr>
              <w:t>6.67</w:t>
            </w:r>
          </w:p>
        </w:tc>
        <w:tc>
          <w:tcPr>
            <w:tcW w:w="1152" w:type="dxa"/>
            <w:vAlign w:val="center"/>
          </w:tcPr>
          <w:p w14:paraId="59DFCFA6" w14:textId="511238B5" w:rsidR="008B7F73" w:rsidRPr="00BE6116" w:rsidRDefault="008B7F73" w:rsidP="00B67371">
            <w:pPr>
              <w:keepNext/>
              <w:keepLines/>
              <w:spacing w:before="0" w:after="0" w:line="200" w:lineRule="atLeast"/>
              <w:jc w:val="right"/>
              <w:rPr>
                <w:sz w:val="20"/>
              </w:rPr>
            </w:pPr>
            <w:r w:rsidRPr="00BE6116">
              <w:rPr>
                <w:sz w:val="20"/>
              </w:rPr>
              <w:t>6.67</w:t>
            </w:r>
          </w:p>
        </w:tc>
        <w:tc>
          <w:tcPr>
            <w:tcW w:w="5040" w:type="dxa"/>
            <w:vAlign w:val="center"/>
          </w:tcPr>
          <w:p w14:paraId="7A2DFFA6" w14:textId="3B700A58" w:rsidR="008B7F73" w:rsidRPr="003C35ED" w:rsidRDefault="00B67371" w:rsidP="00B67371">
            <w:pPr>
              <w:keepNext/>
              <w:keepLines/>
              <w:spacing w:before="0" w:after="0" w:line="240" w:lineRule="auto"/>
              <w:rPr>
                <w:rFonts w:eastAsia="Times New Roman" w:cs="Times New Roman"/>
                <w:color w:val="000000"/>
                <w:sz w:val="18"/>
                <w:szCs w:val="18"/>
              </w:rPr>
            </w:pPr>
            <w:r w:rsidRPr="003C35ED">
              <w:rPr>
                <w:sz w:val="18"/>
                <w:szCs w:val="18"/>
              </w:rPr>
              <w:t xml:space="preserve">California Public Utilities Commission (CPUC). 2016. </w:t>
            </w:r>
            <w:r w:rsidRPr="0037110F">
              <w:rPr>
                <w:i/>
                <w:sz w:val="18"/>
                <w:szCs w:val="18"/>
              </w:rPr>
              <w:t>Resolution E-4807.</w:t>
            </w:r>
            <w:r w:rsidRPr="003C35ED">
              <w:rPr>
                <w:sz w:val="18"/>
                <w:szCs w:val="18"/>
              </w:rPr>
              <w:t xml:space="preserve"> December 16. </w:t>
            </w:r>
            <w:r w:rsidRPr="003C35ED">
              <w:rPr>
                <w:rStyle w:val="eTRMFootnoteTextChar"/>
                <w:szCs w:val="18"/>
              </w:rPr>
              <w:t>Page 13.  </w:t>
            </w:r>
          </w:p>
        </w:tc>
      </w:tr>
      <w:bookmarkEnd w:id="85"/>
    </w:tbl>
    <w:p w14:paraId="4D898042" w14:textId="77777777" w:rsidR="008B7F73" w:rsidRPr="004B06E3" w:rsidRDefault="008B7F73" w:rsidP="004142EF"/>
    <w:p w14:paraId="3B14B593" w14:textId="77777777" w:rsidR="007D230B" w:rsidRPr="004B06E3" w:rsidRDefault="007D230B" w:rsidP="00462BB6">
      <w:pPr>
        <w:pStyle w:val="eTRMHeading3"/>
      </w:pPr>
      <w:bookmarkStart w:id="86" w:name="_Toc486490860"/>
      <w:bookmarkStart w:id="87" w:name="_Toc486580931"/>
      <w:bookmarkStart w:id="88" w:name="_Toc12567170"/>
      <w:bookmarkStart w:id="89" w:name="_Hlk536527000"/>
      <w:r w:rsidRPr="004B06E3">
        <w:t>Base Case Material Cost ($/unit)</w:t>
      </w:r>
      <w:bookmarkEnd w:id="86"/>
      <w:bookmarkEnd w:id="87"/>
      <w:bookmarkEnd w:id="88"/>
    </w:p>
    <w:p w14:paraId="0B4B7114" w14:textId="5241EA35" w:rsidR="007B408E" w:rsidRPr="00C34390" w:rsidRDefault="001C4069" w:rsidP="007B408E">
      <w:r>
        <w:t xml:space="preserve">For </w:t>
      </w:r>
      <w:r w:rsidR="0009055D" w:rsidRPr="004C0A3C">
        <w:rPr>
          <w:i/>
        </w:rPr>
        <w:t>add-on equipment</w:t>
      </w:r>
      <w:r w:rsidR="007B408E" w:rsidRPr="004C0A3C">
        <w:rPr>
          <w:i/>
        </w:rPr>
        <w:t xml:space="preserve"> measure</w:t>
      </w:r>
      <w:r w:rsidRPr="004C0A3C">
        <w:rPr>
          <w:i/>
        </w:rPr>
        <w:t xml:space="preserve"> applications</w:t>
      </w:r>
      <w:r w:rsidR="007B408E">
        <w:t xml:space="preserve">, </w:t>
      </w:r>
      <w:r w:rsidR="007B408E" w:rsidRPr="00C34390">
        <w:t xml:space="preserve">the base case assumes that the existing </w:t>
      </w:r>
      <w:r w:rsidR="007B408E">
        <w:t>faucet</w:t>
      </w:r>
      <w:r w:rsidR="007B408E" w:rsidRPr="00C34390">
        <w:t xml:space="preserve"> </w:t>
      </w:r>
      <w:r w:rsidR="00B06C1A">
        <w:t>is</w:t>
      </w:r>
      <w:r w:rsidR="007B408E" w:rsidRPr="00C34390">
        <w:t xml:space="preserve"> n</w:t>
      </w:r>
      <w:r w:rsidR="007B408E">
        <w:t>ot equipped with</w:t>
      </w:r>
      <w:r w:rsidR="00B06C1A">
        <w:t xml:space="preserve"> an</w:t>
      </w:r>
      <w:r w:rsidR="007B408E">
        <w:t xml:space="preserve"> aerator. </w:t>
      </w:r>
      <w:r w:rsidR="007B408E" w:rsidRPr="00C34390">
        <w:t>Therefore, the base case cost is</w:t>
      </w:r>
      <w:r w:rsidR="0009055D">
        <w:t xml:space="preserve"> equal to</w:t>
      </w:r>
      <w:r w:rsidR="007B408E" w:rsidRPr="00C34390">
        <w:t xml:space="preserve"> $0</w:t>
      </w:r>
      <w:r w:rsidR="007B408E">
        <w:t>.</w:t>
      </w:r>
    </w:p>
    <w:p w14:paraId="5DA603B3" w14:textId="3A81BC5D" w:rsidR="007D230B" w:rsidRDefault="0011352D" w:rsidP="004142EF">
      <w:r>
        <w:t xml:space="preserve">Base case material costs for </w:t>
      </w:r>
      <w:r w:rsidRPr="00636566">
        <w:rPr>
          <w:i/>
        </w:rPr>
        <w:t>accelerated replacement installations</w:t>
      </w:r>
      <w:r>
        <w:t xml:space="preserve"> are equal to $0 in the first baseline period. </w:t>
      </w:r>
      <w:r w:rsidR="004C0A3C" w:rsidRPr="003A561F">
        <w:t xml:space="preserve"> </w:t>
      </w:r>
      <w:r w:rsidRPr="0011352D">
        <w:t xml:space="preserve">Material cost for the second baseline period </w:t>
      </w:r>
      <w:r w:rsidR="005C6663" w:rsidRPr="003A561F">
        <w:t>were drawn directly from the Database for Energy Efficient Resources (DEER)</w:t>
      </w:r>
      <w:r w:rsidR="003555F5" w:rsidRPr="003A561F">
        <w:t xml:space="preserve"> 2008 </w:t>
      </w:r>
      <w:r w:rsidR="0021124C">
        <w:t xml:space="preserve">measure </w:t>
      </w:r>
      <w:r w:rsidR="003555F5" w:rsidRPr="003A561F">
        <w:t>cost documentation.</w:t>
      </w:r>
      <w:r w:rsidR="003A561F">
        <w:rPr>
          <w:rStyle w:val="FootnoteReference"/>
        </w:rPr>
        <w:footnoteReference w:id="10"/>
      </w:r>
    </w:p>
    <w:p w14:paraId="2B571B9C" w14:textId="77777777" w:rsidR="004C0A3C" w:rsidRPr="004B06E3" w:rsidRDefault="004C0A3C" w:rsidP="004142EF"/>
    <w:p w14:paraId="44E8DBEB" w14:textId="77777777" w:rsidR="007D230B" w:rsidRPr="004B06E3" w:rsidRDefault="007D230B" w:rsidP="00462BB6">
      <w:pPr>
        <w:pStyle w:val="eTRMHeading3"/>
      </w:pPr>
      <w:bookmarkStart w:id="90" w:name="_Toc486490861"/>
      <w:bookmarkStart w:id="91" w:name="_Toc486580932"/>
      <w:bookmarkStart w:id="92" w:name="_Toc12567171"/>
      <w:r w:rsidRPr="004B06E3">
        <w:lastRenderedPageBreak/>
        <w:t>Measure Case Material Cost ($/unit)</w:t>
      </w:r>
      <w:bookmarkEnd w:id="90"/>
      <w:bookmarkEnd w:id="91"/>
      <w:bookmarkEnd w:id="92"/>
    </w:p>
    <w:p w14:paraId="5AB68149" w14:textId="7777F145" w:rsidR="00CA41F1" w:rsidRPr="002C1A40" w:rsidRDefault="00CA41F1" w:rsidP="003433B5">
      <w:pPr>
        <w:rPr>
          <w:rFonts w:cstheme="minorHAnsi"/>
          <w:szCs w:val="22"/>
        </w:rPr>
      </w:pPr>
      <w:r w:rsidRPr="00F66CA7">
        <w:rPr>
          <w:rFonts w:cstheme="minorHAnsi"/>
          <w:szCs w:val="22"/>
        </w:rPr>
        <w:t xml:space="preserve">The </w:t>
      </w:r>
      <w:r>
        <w:rPr>
          <w:rFonts w:cstheme="minorHAnsi"/>
          <w:szCs w:val="22"/>
        </w:rPr>
        <w:t xml:space="preserve">measure </w:t>
      </w:r>
      <w:r w:rsidR="00ED17C2">
        <w:rPr>
          <w:rFonts w:cstheme="minorHAnsi"/>
          <w:szCs w:val="22"/>
        </w:rPr>
        <w:t xml:space="preserve">case material </w:t>
      </w:r>
      <w:r>
        <w:rPr>
          <w:rFonts w:cstheme="minorHAnsi"/>
          <w:szCs w:val="22"/>
        </w:rPr>
        <w:t xml:space="preserve">cost </w:t>
      </w:r>
      <w:r w:rsidR="00ED17C2" w:rsidRPr="00ED17C2">
        <w:rPr>
          <w:rFonts w:cstheme="minorHAnsi"/>
          <w:i/>
          <w:szCs w:val="22"/>
        </w:rPr>
        <w:t>all application types</w:t>
      </w:r>
      <w:r w:rsidR="00ED17C2">
        <w:rPr>
          <w:rFonts w:cstheme="minorHAnsi"/>
          <w:szCs w:val="22"/>
        </w:rPr>
        <w:t xml:space="preserve"> of </w:t>
      </w:r>
      <w:r w:rsidR="00E75ED7">
        <w:rPr>
          <w:rFonts w:cstheme="minorHAnsi"/>
          <w:szCs w:val="22"/>
        </w:rPr>
        <w:t xml:space="preserve">a low-flow </w:t>
      </w:r>
      <w:r>
        <w:rPr>
          <w:rFonts w:cstheme="minorHAnsi"/>
          <w:szCs w:val="22"/>
        </w:rPr>
        <w:t xml:space="preserve">faucet aerator </w:t>
      </w:r>
      <w:r w:rsidR="00E75ED7">
        <w:rPr>
          <w:rFonts w:cstheme="minorHAnsi"/>
          <w:szCs w:val="22"/>
        </w:rPr>
        <w:t xml:space="preserve">was </w:t>
      </w:r>
      <w:r>
        <w:rPr>
          <w:rFonts w:cstheme="minorHAnsi"/>
          <w:szCs w:val="22"/>
        </w:rPr>
        <w:t xml:space="preserve">calculated as </w:t>
      </w:r>
      <w:r w:rsidR="00E75ED7">
        <w:rPr>
          <w:rFonts w:cstheme="minorHAnsi"/>
          <w:szCs w:val="22"/>
        </w:rPr>
        <w:t>the</w:t>
      </w:r>
      <w:r>
        <w:rPr>
          <w:rFonts w:cstheme="minorHAnsi"/>
          <w:szCs w:val="22"/>
        </w:rPr>
        <w:t xml:space="preserve"> average of</w:t>
      </w:r>
      <w:r w:rsidR="00F96F96">
        <w:rPr>
          <w:rFonts w:cstheme="minorHAnsi"/>
          <w:szCs w:val="22"/>
        </w:rPr>
        <w:t xml:space="preserve"> </w:t>
      </w:r>
      <w:r w:rsidR="00E75ED7">
        <w:rPr>
          <w:rFonts w:cstheme="minorHAnsi"/>
          <w:szCs w:val="22"/>
        </w:rPr>
        <w:t xml:space="preserve">(proprietary) negotiated costs </w:t>
      </w:r>
      <w:r w:rsidR="00F96F96">
        <w:rPr>
          <w:rFonts w:cstheme="minorHAnsi"/>
          <w:szCs w:val="22"/>
        </w:rPr>
        <w:t xml:space="preserve">from </w:t>
      </w:r>
      <w:r w:rsidR="00E75ED7">
        <w:rPr>
          <w:rFonts w:cstheme="minorHAnsi"/>
          <w:szCs w:val="22"/>
        </w:rPr>
        <w:t xml:space="preserve">four </w:t>
      </w:r>
      <w:r w:rsidR="00F96F96">
        <w:rPr>
          <w:rFonts w:cstheme="minorHAnsi"/>
          <w:szCs w:val="22"/>
        </w:rPr>
        <w:t>third</w:t>
      </w:r>
      <w:r w:rsidR="002830A6">
        <w:rPr>
          <w:rFonts w:cstheme="minorHAnsi"/>
          <w:szCs w:val="22"/>
        </w:rPr>
        <w:t>-</w:t>
      </w:r>
      <w:r w:rsidR="00F96F96">
        <w:rPr>
          <w:rFonts w:cstheme="minorHAnsi"/>
          <w:szCs w:val="22"/>
        </w:rPr>
        <w:t xml:space="preserve">party </w:t>
      </w:r>
      <w:r w:rsidR="00140D18">
        <w:rPr>
          <w:rFonts w:cstheme="minorHAnsi"/>
          <w:szCs w:val="22"/>
        </w:rPr>
        <w:t xml:space="preserve">contractors </w:t>
      </w:r>
      <w:bookmarkStart w:id="93" w:name="_Hlk496538230"/>
      <w:r w:rsidR="00E75ED7">
        <w:rPr>
          <w:rFonts w:cstheme="minorHAnsi"/>
          <w:szCs w:val="22"/>
        </w:rPr>
        <w:t>that implement</w:t>
      </w:r>
      <w:r w:rsidR="0009055D">
        <w:rPr>
          <w:rFonts w:cstheme="minorHAnsi"/>
          <w:szCs w:val="22"/>
        </w:rPr>
        <w:t>ed</w:t>
      </w:r>
      <w:r w:rsidR="00E75ED7">
        <w:rPr>
          <w:rFonts w:cstheme="minorHAnsi"/>
          <w:szCs w:val="22"/>
        </w:rPr>
        <w:t xml:space="preserve"> this </w:t>
      </w:r>
      <w:r w:rsidR="00E75ED7" w:rsidRPr="002C1A40">
        <w:rPr>
          <w:rFonts w:cstheme="minorHAnsi"/>
          <w:szCs w:val="22"/>
        </w:rPr>
        <w:t>measure</w:t>
      </w:r>
      <w:r w:rsidR="00140D18" w:rsidRPr="002C1A40">
        <w:rPr>
          <w:rFonts w:cstheme="minorHAnsi"/>
          <w:szCs w:val="22"/>
        </w:rPr>
        <w:t xml:space="preserve"> in 2017</w:t>
      </w:r>
      <w:r w:rsidR="00F96F96" w:rsidRPr="002C1A40">
        <w:rPr>
          <w:rFonts w:cstheme="minorHAnsi"/>
          <w:szCs w:val="22"/>
        </w:rPr>
        <w:t>.</w:t>
      </w:r>
      <w:r w:rsidR="009103B6" w:rsidRPr="002C1A40">
        <w:rPr>
          <w:rStyle w:val="FootnoteReference"/>
          <w:rFonts w:cstheme="minorHAnsi"/>
          <w:szCs w:val="22"/>
        </w:rPr>
        <w:footnoteReference w:id="11"/>
      </w:r>
    </w:p>
    <w:p w14:paraId="081E0316" w14:textId="4D715D75" w:rsidR="007D230B" w:rsidRPr="002C1A40" w:rsidRDefault="00536DEC" w:rsidP="004142EF">
      <w:pPr>
        <w:rPr>
          <w:rFonts w:cstheme="minorHAnsi"/>
          <w:szCs w:val="22"/>
        </w:rPr>
      </w:pPr>
      <w:bookmarkStart w:id="94" w:name="_Hlk11285282"/>
      <w:r w:rsidRPr="002C1A40">
        <w:rPr>
          <w:rFonts w:cstheme="minorHAnsi"/>
          <w:szCs w:val="22"/>
        </w:rPr>
        <w:t xml:space="preserve">Faucet </w:t>
      </w:r>
      <w:r w:rsidR="007F12EE" w:rsidRPr="002C1A40">
        <w:rPr>
          <w:rFonts w:cstheme="minorHAnsi"/>
          <w:szCs w:val="22"/>
        </w:rPr>
        <w:t>flow control valves (</w:t>
      </w:r>
      <w:r w:rsidRPr="002C1A40">
        <w:rPr>
          <w:rFonts w:cstheme="minorHAnsi"/>
          <w:szCs w:val="22"/>
        </w:rPr>
        <w:t>FCVs</w:t>
      </w:r>
      <w:r w:rsidR="007F12EE" w:rsidRPr="002C1A40">
        <w:rPr>
          <w:rFonts w:cstheme="minorHAnsi"/>
          <w:szCs w:val="22"/>
        </w:rPr>
        <w:t>)</w:t>
      </w:r>
      <w:r w:rsidRPr="002C1A40">
        <w:rPr>
          <w:rFonts w:cstheme="minorHAnsi"/>
          <w:szCs w:val="22"/>
        </w:rPr>
        <w:t xml:space="preserve"> are sold in pairs for a price of $25.00, this price will be used for material cost for faucet applications as the measure must be installed in pairs.</w:t>
      </w:r>
      <w:bookmarkEnd w:id="93"/>
    </w:p>
    <w:bookmarkEnd w:id="94"/>
    <w:p w14:paraId="5C8E677D" w14:textId="77777777" w:rsidR="00847563" w:rsidRPr="002C1A40" w:rsidRDefault="00847563" w:rsidP="004142EF"/>
    <w:p w14:paraId="23A433C5" w14:textId="08F41651" w:rsidR="0009055D" w:rsidRPr="002C1A40" w:rsidRDefault="0009055D" w:rsidP="0009055D">
      <w:pPr>
        <w:pStyle w:val="eTRMHeading3"/>
      </w:pPr>
      <w:bookmarkStart w:id="95" w:name="_Toc12567172"/>
      <w:r w:rsidRPr="002C1A40">
        <w:t>Base Case Labor Cost ($/unit)</w:t>
      </w:r>
      <w:bookmarkEnd w:id="95"/>
    </w:p>
    <w:p w14:paraId="5D6EAA58" w14:textId="5C1D8F16" w:rsidR="0009055D" w:rsidRPr="00C34390" w:rsidRDefault="00C36606" w:rsidP="0009055D">
      <w:r w:rsidRPr="002C1A40">
        <w:t xml:space="preserve">For </w:t>
      </w:r>
      <w:r w:rsidRPr="002C1A40">
        <w:rPr>
          <w:i/>
        </w:rPr>
        <w:t>add-on equipment measure applications</w:t>
      </w:r>
      <w:r w:rsidRPr="002C1A40">
        <w:t>,</w:t>
      </w:r>
      <w:r w:rsidR="0009055D" w:rsidRPr="002C1A40">
        <w:t xml:space="preserve"> the base case assumes that the existing faucet is not equipped with an aerator</w:t>
      </w:r>
      <w:r w:rsidR="00CC120B" w:rsidRPr="002C1A40">
        <w:t xml:space="preserve"> </w:t>
      </w:r>
      <w:bookmarkStart w:id="96" w:name="_Hlk11286226"/>
      <w:r w:rsidR="00CC120B" w:rsidRPr="002C1A40">
        <w:t>or flow control valve</w:t>
      </w:r>
      <w:r w:rsidR="005F331C" w:rsidRPr="002C1A40">
        <w:t>s</w:t>
      </w:r>
      <w:bookmarkEnd w:id="96"/>
      <w:r w:rsidR="007F12EE" w:rsidRPr="002C1A40">
        <w:t xml:space="preserve"> (FCVs)</w:t>
      </w:r>
      <w:r w:rsidR="0009055D" w:rsidRPr="002C1A40">
        <w:t>. Therefore, the base case labor installation cost is equal to $0.</w:t>
      </w:r>
    </w:p>
    <w:p w14:paraId="7FEEC958" w14:textId="028153E2" w:rsidR="003555F5" w:rsidRDefault="00D83AA0" w:rsidP="003555F5">
      <w:r>
        <w:t>Base case labor costs f</w:t>
      </w:r>
      <w:r w:rsidR="003555F5" w:rsidRPr="00E67F6D">
        <w:t xml:space="preserve">or </w:t>
      </w:r>
      <w:r w:rsidR="003555F5" w:rsidRPr="00E67F6D">
        <w:rPr>
          <w:i/>
        </w:rPr>
        <w:t>accelerated replacement applications</w:t>
      </w:r>
      <w:r>
        <w:rPr>
          <w:i/>
        </w:rPr>
        <w:t xml:space="preserve"> </w:t>
      </w:r>
      <w:r w:rsidRPr="00D83AA0">
        <w:t xml:space="preserve">are equal to $0 in the first baseline period. The labor cost for the second baseline period were </w:t>
      </w:r>
      <w:r w:rsidR="006E5878" w:rsidRPr="00D83AA0">
        <w:t xml:space="preserve">calculated </w:t>
      </w:r>
      <w:r w:rsidR="006E5878" w:rsidRPr="00D83AA0">
        <w:rPr>
          <w:rFonts w:cstheme="minorHAnsi"/>
          <w:szCs w:val="22"/>
        </w:rPr>
        <w:t xml:space="preserve">as the average of </w:t>
      </w:r>
      <w:r w:rsidR="006E5878">
        <w:rPr>
          <w:rFonts w:cstheme="minorHAnsi"/>
          <w:szCs w:val="22"/>
        </w:rPr>
        <w:t>(proprietary) negotiated costs from four third-party contractors that implement this measure in 2017.</w:t>
      </w:r>
      <w:r w:rsidR="006E5878">
        <w:rPr>
          <w:rStyle w:val="FootnoteReference"/>
          <w:rFonts w:cstheme="minorHAnsi"/>
          <w:szCs w:val="22"/>
        </w:rPr>
        <w:footnoteReference w:id="12"/>
      </w:r>
    </w:p>
    <w:p w14:paraId="471C4C34" w14:textId="77777777" w:rsidR="0009055D" w:rsidRPr="004B06E3" w:rsidRDefault="0009055D" w:rsidP="004142EF"/>
    <w:p w14:paraId="02691007" w14:textId="43066A98" w:rsidR="007D230B" w:rsidRPr="004B06E3" w:rsidRDefault="0009055D" w:rsidP="00462BB6">
      <w:pPr>
        <w:pStyle w:val="eTRMHeading3"/>
      </w:pPr>
      <w:bookmarkStart w:id="97" w:name="_Toc486490862"/>
      <w:bookmarkStart w:id="98" w:name="_Toc486580933"/>
      <w:bookmarkStart w:id="99" w:name="_Toc12567173"/>
      <w:r>
        <w:t xml:space="preserve">Measure Case </w:t>
      </w:r>
      <w:r w:rsidR="007D230B" w:rsidRPr="004B06E3">
        <w:t>Labor Cost ($/unit)</w:t>
      </w:r>
      <w:bookmarkEnd w:id="97"/>
      <w:bookmarkEnd w:id="98"/>
      <w:bookmarkEnd w:id="99"/>
    </w:p>
    <w:p w14:paraId="61F3EFDE" w14:textId="25F74ADC" w:rsidR="002103CD" w:rsidRPr="002C1A40" w:rsidRDefault="003433B5" w:rsidP="00C9078E">
      <w:pPr>
        <w:rPr>
          <w:rFonts w:cstheme="minorHAnsi"/>
          <w:szCs w:val="22"/>
        </w:rPr>
      </w:pPr>
      <w:r>
        <w:rPr>
          <w:rFonts w:cstheme="minorHAnsi"/>
          <w:szCs w:val="22"/>
        </w:rPr>
        <w:t>The l</w:t>
      </w:r>
      <w:r w:rsidRPr="00C9182E">
        <w:rPr>
          <w:rFonts w:cstheme="minorHAnsi"/>
          <w:szCs w:val="22"/>
        </w:rPr>
        <w:t xml:space="preserve">abor </w:t>
      </w:r>
      <w:r w:rsidR="001910DE">
        <w:rPr>
          <w:rFonts w:cstheme="minorHAnsi"/>
          <w:szCs w:val="22"/>
        </w:rPr>
        <w:t xml:space="preserve">cost </w:t>
      </w:r>
      <w:r w:rsidR="00C36606">
        <w:rPr>
          <w:rFonts w:cstheme="minorHAnsi"/>
          <w:szCs w:val="22"/>
        </w:rPr>
        <w:t xml:space="preserve">for </w:t>
      </w:r>
      <w:r w:rsidR="00C36606" w:rsidRPr="00C36606">
        <w:rPr>
          <w:rFonts w:cstheme="minorHAnsi"/>
          <w:i/>
          <w:szCs w:val="22"/>
        </w:rPr>
        <w:t>all application types</w:t>
      </w:r>
      <w:r w:rsidR="00C36606">
        <w:rPr>
          <w:rFonts w:cstheme="minorHAnsi"/>
          <w:szCs w:val="22"/>
        </w:rPr>
        <w:t xml:space="preserve"> </w:t>
      </w:r>
      <w:r w:rsidR="00E75ED7">
        <w:rPr>
          <w:rFonts w:cstheme="minorHAnsi"/>
          <w:szCs w:val="22"/>
        </w:rPr>
        <w:t xml:space="preserve">to install </w:t>
      </w:r>
      <w:r w:rsidR="00140D18">
        <w:rPr>
          <w:rFonts w:cstheme="minorHAnsi"/>
          <w:szCs w:val="22"/>
        </w:rPr>
        <w:t>a low-flow faucet aerator was calculated as the average of (</w:t>
      </w:r>
      <w:r w:rsidR="00140D18" w:rsidRPr="002C1A40">
        <w:rPr>
          <w:rFonts w:cstheme="minorHAnsi"/>
          <w:szCs w:val="22"/>
        </w:rPr>
        <w:t>proprietary) negotiated costs from four third-party contractors that implement this measure in 2017.</w:t>
      </w:r>
      <w:r w:rsidR="00140D18" w:rsidRPr="002C1A40">
        <w:rPr>
          <w:rStyle w:val="FootnoteReference"/>
          <w:rFonts w:cstheme="minorHAnsi"/>
          <w:szCs w:val="22"/>
        </w:rPr>
        <w:footnoteReference w:id="13"/>
      </w:r>
    </w:p>
    <w:p w14:paraId="4E1B70AB" w14:textId="204E2AF2" w:rsidR="00847563" w:rsidRPr="002C1A40" w:rsidRDefault="005F331C" w:rsidP="00847563">
      <w:bookmarkStart w:id="100" w:name="_Hlk11408589"/>
      <w:bookmarkStart w:id="101" w:name="_Hlk11286254"/>
      <w:r w:rsidRPr="002C1A40">
        <w:t xml:space="preserve">Installation of </w:t>
      </w:r>
      <w:r w:rsidR="007F12EE" w:rsidRPr="002C1A40">
        <w:t>flow control valves (</w:t>
      </w:r>
      <w:r w:rsidR="00847563" w:rsidRPr="002C1A40">
        <w:t>FCVs</w:t>
      </w:r>
      <w:r w:rsidR="007F12EE" w:rsidRPr="002C1A40">
        <w:t>)</w:t>
      </w:r>
      <w:r w:rsidR="00847563" w:rsidRPr="002C1A40">
        <w:t xml:space="preserve"> in residential faucets</w:t>
      </w:r>
      <w:r w:rsidRPr="002C1A40">
        <w:t xml:space="preserve"> </w:t>
      </w:r>
      <w:r w:rsidR="00600998" w:rsidRPr="002C1A40">
        <w:t xml:space="preserve">adopts the </w:t>
      </w:r>
      <w:r w:rsidR="00847563" w:rsidRPr="002C1A40">
        <w:t xml:space="preserve">labor cost </w:t>
      </w:r>
      <w:r w:rsidR="00B11438" w:rsidRPr="002C1A40">
        <w:t xml:space="preserve">of low-flow showerhead </w:t>
      </w:r>
      <w:r w:rsidR="00847563" w:rsidRPr="002C1A40">
        <w:t xml:space="preserve">from </w:t>
      </w:r>
      <w:r w:rsidR="00B11438" w:rsidRPr="002C1A40">
        <w:t xml:space="preserve">DEER cost data </w:t>
      </w:r>
      <w:r w:rsidR="00B11438" w:rsidRPr="002C1A40">
        <w:rPr>
          <w:rStyle w:val="FootnoteReference"/>
        </w:rPr>
        <w:footnoteReference w:id="14"/>
      </w:r>
      <w:r w:rsidR="00847563" w:rsidRPr="002C1A40">
        <w:t>, at $16.74 per fixture</w:t>
      </w:r>
      <w:r w:rsidR="00600998" w:rsidRPr="002C1A40">
        <w:t xml:space="preserve">.  </w:t>
      </w:r>
      <w:bookmarkEnd w:id="100"/>
      <w:r w:rsidRPr="002C1A40">
        <w:t>However,</w:t>
      </w:r>
      <w:r w:rsidR="00847563" w:rsidRPr="002C1A40">
        <w:t xml:space="preserve"> the installer will have to work on the cold and hot water </w:t>
      </w:r>
      <w:r w:rsidR="00600998" w:rsidRPr="002C1A40">
        <w:t xml:space="preserve">lines, and </w:t>
      </w:r>
      <w:r w:rsidR="00847563" w:rsidRPr="002C1A40">
        <w:t xml:space="preserve">the labor cost will be multiplied by a factor of 2, for total labor cost of </w:t>
      </w:r>
      <w:r w:rsidR="00600998" w:rsidRPr="002C1A40">
        <w:t xml:space="preserve">$33.48 </w:t>
      </w:r>
      <w:r w:rsidR="00847563" w:rsidRPr="002C1A40">
        <w:t xml:space="preserve">($16.74 </w:t>
      </w:r>
      <w:r w:rsidR="00600998" w:rsidRPr="002C1A40">
        <w:t>x</w:t>
      </w:r>
      <w:r w:rsidR="00847563" w:rsidRPr="002C1A40">
        <w:t xml:space="preserve"> 2).</w:t>
      </w:r>
    </w:p>
    <w:bookmarkEnd w:id="89"/>
    <w:bookmarkEnd w:id="101"/>
    <w:p w14:paraId="2C76B2E8" w14:textId="77777777" w:rsidR="003433B5" w:rsidRPr="008560FF" w:rsidRDefault="003433B5" w:rsidP="008560FF"/>
    <w:p w14:paraId="050D9183" w14:textId="7ABF5C13" w:rsidR="007D230B" w:rsidRPr="004B06E3" w:rsidRDefault="004B06E3" w:rsidP="00462BB6">
      <w:pPr>
        <w:pStyle w:val="eTRMHeading3"/>
      </w:pPr>
      <w:bookmarkStart w:id="102" w:name="_Toc486490863"/>
      <w:bookmarkStart w:id="103" w:name="_Toc486580934"/>
      <w:bookmarkStart w:id="104" w:name="_Toc12567174"/>
      <w:r>
        <w:t>Net-to-Gross</w:t>
      </w:r>
      <w:bookmarkEnd w:id="102"/>
      <w:bookmarkEnd w:id="103"/>
      <w:r w:rsidR="008D4652">
        <w:t xml:space="preserve"> (NTG)</w:t>
      </w:r>
      <w:bookmarkEnd w:id="104"/>
    </w:p>
    <w:p w14:paraId="2A066F99" w14:textId="14D4B1F2" w:rsidR="007B408E" w:rsidRPr="004B06E3" w:rsidRDefault="007B408E" w:rsidP="007B408E">
      <w:r w:rsidRPr="00860FEC">
        <w:t>The net-to-gross (NTG) ratio represents the portion of gross impacts that are determined to be directly attributed to a specific program intervention</w:t>
      </w:r>
      <w:r w:rsidR="003C344A" w:rsidRPr="003C344A">
        <w:t xml:space="preserve"> </w:t>
      </w:r>
      <w:r w:rsidR="003C344A">
        <w:t>The NTG ratio for direct installations was specified in the Workpaper Disposition for Water Fixtures disposition issued by the Energy Division of the California Public Utilities Commission (CPUC) in 2013. The NTG ratio for all other delivery channels is</w:t>
      </w:r>
      <w:r w:rsidR="003C344A" w:rsidRPr="00AF3038">
        <w:t xml:space="preserve"> based upon the average of all NTG ratios for all evaluated 2006 – 2008 </w:t>
      </w:r>
      <w:r w:rsidR="003C344A">
        <w:t>residential</w:t>
      </w:r>
      <w:r w:rsidR="003C344A" w:rsidRPr="00AF3038">
        <w:t xml:space="preserve"> programs, as documented in the 2011 DEER Update Study conducted by </w:t>
      </w:r>
      <w:proofErr w:type="spellStart"/>
      <w:r w:rsidR="003C344A" w:rsidRPr="00AF3038">
        <w:t>Itron</w:t>
      </w:r>
      <w:proofErr w:type="spellEnd"/>
      <w:r w:rsidR="003C344A" w:rsidRPr="00AF3038">
        <w:t xml:space="preserve">, Inc. </w:t>
      </w:r>
      <w:r w:rsidR="003C344A">
        <w:t>This</w:t>
      </w:r>
      <w:r w:rsidR="003C344A" w:rsidRPr="00AF3038">
        <w:t xml:space="preserve"> sector average NTG (“default NTG”) </w:t>
      </w:r>
      <w:r w:rsidR="003C344A">
        <w:t>is</w:t>
      </w:r>
      <w:r w:rsidR="003C344A" w:rsidRPr="00AF3038">
        <w:t xml:space="preserve"> applicable </w:t>
      </w:r>
      <w:r w:rsidR="003C344A">
        <w:t xml:space="preserve">to </w:t>
      </w:r>
      <w:r w:rsidR="003C344A" w:rsidRPr="00AF3038">
        <w:t xml:space="preserve">all energy efficiency measures that have been offered </w:t>
      </w:r>
      <w:r w:rsidR="003C344A">
        <w:t>through</w:t>
      </w:r>
      <w:r w:rsidR="003C344A" w:rsidRPr="00AF3038">
        <w:t xml:space="preserve"> </w:t>
      </w:r>
      <w:r w:rsidR="003C344A">
        <w:t>residential</w:t>
      </w:r>
      <w:r w:rsidR="003C344A" w:rsidRPr="00AF3038">
        <w:t xml:space="preserve"> </w:t>
      </w:r>
      <w:r w:rsidR="003C344A">
        <w:t xml:space="preserve">sector </w:t>
      </w:r>
      <w:r w:rsidR="003C344A" w:rsidRPr="00AF3038">
        <w:t>programs for more than two years and for which impact evaluation results are not available.</w:t>
      </w:r>
      <w:r w:rsidR="003C344A" w:rsidRPr="00765218">
        <w:t> </w:t>
      </w:r>
    </w:p>
    <w:p w14:paraId="0D1CEED6" w14:textId="6802893D" w:rsidR="00DE1A0F" w:rsidRPr="0059426D" w:rsidRDefault="00DE1A0F" w:rsidP="008560FF">
      <w:pPr>
        <w:pStyle w:val="Caption"/>
      </w:pPr>
      <w:r>
        <w:lastRenderedPageBreak/>
        <w:t>Net-to-Gross Ratios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80"/>
        <w:gridCol w:w="990"/>
        <w:gridCol w:w="1080"/>
        <w:gridCol w:w="5490"/>
      </w:tblGrid>
      <w:tr w:rsidR="00B425AD" w:rsidRPr="00052C24" w14:paraId="5D574277" w14:textId="77777777" w:rsidTr="00BE6116">
        <w:trPr>
          <w:trHeight w:val="20"/>
        </w:trPr>
        <w:tc>
          <w:tcPr>
            <w:tcW w:w="1980" w:type="dxa"/>
            <w:shd w:val="clear" w:color="auto" w:fill="F2F2F2" w:themeFill="background1" w:themeFillShade="F2"/>
            <w:vAlign w:val="bottom"/>
          </w:tcPr>
          <w:p w14:paraId="6C89A4AA" w14:textId="77777777" w:rsidR="00B425AD" w:rsidRPr="00052C24" w:rsidRDefault="00B425AD" w:rsidP="009818EF">
            <w:pPr>
              <w:keepNext/>
              <w:keepLines/>
              <w:spacing w:before="0" w:after="0" w:line="200" w:lineRule="atLeast"/>
              <w:jc w:val="center"/>
              <w:rPr>
                <w:b/>
                <w:sz w:val="20"/>
              </w:rPr>
            </w:pPr>
            <w:bookmarkStart w:id="105" w:name="_Hlk504723782"/>
            <w:r>
              <w:rPr>
                <w:b/>
                <w:sz w:val="20"/>
              </w:rPr>
              <w:t>Parameter</w:t>
            </w:r>
          </w:p>
        </w:tc>
        <w:tc>
          <w:tcPr>
            <w:tcW w:w="990" w:type="dxa"/>
            <w:shd w:val="clear" w:color="auto" w:fill="F2F2F2" w:themeFill="background1" w:themeFillShade="F2"/>
            <w:vAlign w:val="bottom"/>
          </w:tcPr>
          <w:p w14:paraId="777F10A8" w14:textId="28F03946" w:rsidR="00B425AD" w:rsidRPr="00052C24" w:rsidRDefault="00B425AD" w:rsidP="009818EF">
            <w:pPr>
              <w:keepNext/>
              <w:keepLines/>
              <w:spacing w:before="0" w:after="0" w:line="200" w:lineRule="atLeast"/>
              <w:jc w:val="center"/>
              <w:rPr>
                <w:b/>
                <w:sz w:val="20"/>
              </w:rPr>
            </w:pPr>
            <w:r>
              <w:rPr>
                <w:b/>
                <w:sz w:val="20"/>
              </w:rPr>
              <w:t xml:space="preserve">Gas  </w:t>
            </w:r>
          </w:p>
        </w:tc>
        <w:tc>
          <w:tcPr>
            <w:tcW w:w="1080" w:type="dxa"/>
            <w:shd w:val="clear" w:color="auto" w:fill="F2F2F2" w:themeFill="background1" w:themeFillShade="F2"/>
            <w:vAlign w:val="bottom"/>
          </w:tcPr>
          <w:p w14:paraId="60AEE375" w14:textId="3900C3C4" w:rsidR="00B425AD" w:rsidRPr="00052C24" w:rsidRDefault="00B425AD" w:rsidP="009818EF">
            <w:pPr>
              <w:keepNext/>
              <w:keepLines/>
              <w:spacing w:before="0" w:after="0" w:line="200" w:lineRule="atLeast"/>
              <w:jc w:val="center"/>
              <w:rPr>
                <w:b/>
                <w:sz w:val="20"/>
              </w:rPr>
            </w:pPr>
            <w:r>
              <w:rPr>
                <w:b/>
                <w:sz w:val="20"/>
              </w:rPr>
              <w:t>Electric</w:t>
            </w:r>
          </w:p>
        </w:tc>
        <w:tc>
          <w:tcPr>
            <w:tcW w:w="5490" w:type="dxa"/>
            <w:shd w:val="clear" w:color="auto" w:fill="F2F2F2" w:themeFill="background1" w:themeFillShade="F2"/>
            <w:vAlign w:val="bottom"/>
          </w:tcPr>
          <w:p w14:paraId="3058E508" w14:textId="77777777" w:rsidR="00B425AD" w:rsidRDefault="00B425AD" w:rsidP="009818EF">
            <w:pPr>
              <w:keepNext/>
              <w:keepLines/>
              <w:spacing w:before="0" w:after="0" w:line="200" w:lineRule="atLeast"/>
              <w:jc w:val="center"/>
              <w:rPr>
                <w:b/>
                <w:sz w:val="20"/>
              </w:rPr>
            </w:pPr>
            <w:r>
              <w:rPr>
                <w:b/>
                <w:sz w:val="20"/>
              </w:rPr>
              <w:t>Source</w:t>
            </w:r>
          </w:p>
        </w:tc>
      </w:tr>
      <w:tr w:rsidR="00B425AD" w:rsidRPr="00B425AD" w14:paraId="2077B9E2" w14:textId="77777777" w:rsidTr="00BE6116">
        <w:trPr>
          <w:trHeight w:val="683"/>
        </w:trPr>
        <w:tc>
          <w:tcPr>
            <w:tcW w:w="1980" w:type="dxa"/>
            <w:vAlign w:val="center"/>
          </w:tcPr>
          <w:p w14:paraId="779DB1E8" w14:textId="22017E22" w:rsidR="00B425AD" w:rsidRPr="00B425AD" w:rsidRDefault="00B425AD" w:rsidP="009818EF">
            <w:pPr>
              <w:keepNext/>
              <w:keepLines/>
              <w:spacing w:before="0" w:after="0" w:line="200" w:lineRule="atLeast"/>
              <w:rPr>
                <w:rFonts w:cstheme="minorHAnsi"/>
                <w:sz w:val="20"/>
                <w:szCs w:val="20"/>
              </w:rPr>
            </w:pPr>
            <w:r w:rsidRPr="00B425AD">
              <w:rPr>
                <w:rFonts w:cstheme="minorHAnsi"/>
                <w:sz w:val="20"/>
                <w:szCs w:val="20"/>
              </w:rPr>
              <w:t xml:space="preserve">NTG </w:t>
            </w:r>
            <w:r w:rsidR="00615CFA">
              <w:rPr>
                <w:rFonts w:cstheme="minorHAnsi"/>
                <w:sz w:val="20"/>
                <w:szCs w:val="20"/>
              </w:rPr>
              <w:t xml:space="preserve">– </w:t>
            </w:r>
            <w:r w:rsidR="002B5CDA">
              <w:rPr>
                <w:rFonts w:cstheme="minorHAnsi"/>
                <w:sz w:val="20"/>
                <w:szCs w:val="20"/>
              </w:rPr>
              <w:t>R</w:t>
            </w:r>
            <w:r w:rsidR="00920D26">
              <w:rPr>
                <w:rFonts w:cstheme="minorHAnsi"/>
                <w:sz w:val="20"/>
                <w:szCs w:val="20"/>
              </w:rPr>
              <w:t>esidential, direct install only</w:t>
            </w:r>
          </w:p>
        </w:tc>
        <w:tc>
          <w:tcPr>
            <w:tcW w:w="990" w:type="dxa"/>
            <w:shd w:val="clear" w:color="auto" w:fill="auto"/>
            <w:vAlign w:val="center"/>
          </w:tcPr>
          <w:p w14:paraId="77BF19F3" w14:textId="7B7D585C" w:rsidR="00B425AD" w:rsidRPr="00031810" w:rsidRDefault="00B425AD" w:rsidP="009818EF">
            <w:pPr>
              <w:keepNext/>
              <w:keepLines/>
              <w:spacing w:before="0" w:after="0" w:line="200" w:lineRule="atLeast"/>
              <w:jc w:val="center"/>
              <w:rPr>
                <w:rFonts w:cstheme="minorHAnsi"/>
                <w:sz w:val="20"/>
                <w:szCs w:val="20"/>
              </w:rPr>
            </w:pPr>
            <w:r w:rsidRPr="00031810">
              <w:rPr>
                <w:rFonts w:cstheme="minorHAnsi"/>
                <w:sz w:val="20"/>
                <w:szCs w:val="20"/>
              </w:rPr>
              <w:t>0.59</w:t>
            </w:r>
          </w:p>
        </w:tc>
        <w:tc>
          <w:tcPr>
            <w:tcW w:w="1080" w:type="dxa"/>
            <w:vAlign w:val="center"/>
          </w:tcPr>
          <w:p w14:paraId="7953651A" w14:textId="595066AD" w:rsidR="00B425AD" w:rsidRPr="00031810" w:rsidRDefault="00B425AD" w:rsidP="009818EF">
            <w:pPr>
              <w:keepNext/>
              <w:keepLines/>
              <w:spacing w:before="0" w:after="0" w:line="200" w:lineRule="atLeast"/>
              <w:jc w:val="center"/>
              <w:rPr>
                <w:rFonts w:cstheme="minorHAnsi"/>
                <w:sz w:val="20"/>
                <w:szCs w:val="20"/>
              </w:rPr>
            </w:pPr>
            <w:r w:rsidRPr="00031810">
              <w:rPr>
                <w:rFonts w:cstheme="minorHAnsi"/>
                <w:sz w:val="20"/>
                <w:szCs w:val="20"/>
              </w:rPr>
              <w:t>0.59</w:t>
            </w:r>
          </w:p>
        </w:tc>
        <w:tc>
          <w:tcPr>
            <w:tcW w:w="5490" w:type="dxa"/>
            <w:vAlign w:val="center"/>
          </w:tcPr>
          <w:p w14:paraId="7FC66E1F" w14:textId="0E0C5D76" w:rsidR="00B425AD" w:rsidRPr="0037110F" w:rsidRDefault="00A339E0" w:rsidP="009818EF">
            <w:pPr>
              <w:keepNext/>
              <w:keepLines/>
              <w:spacing w:before="0" w:after="0" w:line="200" w:lineRule="atLeast"/>
              <w:rPr>
                <w:sz w:val="18"/>
                <w:szCs w:val="18"/>
              </w:rPr>
            </w:pPr>
            <w:r w:rsidRPr="00A339E0">
              <w:rPr>
                <w:sz w:val="18"/>
                <w:szCs w:val="18"/>
              </w:rPr>
              <w:t>California Public Utilities Commission (CPUC), Energy Division. 2013. “Workpaper Disposition for Water Fixtures.” February 22.</w:t>
            </w:r>
            <w:r w:rsidR="0037110F">
              <w:rPr>
                <w:sz w:val="18"/>
                <w:szCs w:val="18"/>
              </w:rPr>
              <w:t xml:space="preserve"> Page 6.</w:t>
            </w:r>
          </w:p>
          <w:p w14:paraId="7297DAF1" w14:textId="77777777" w:rsidR="000708BE" w:rsidRPr="0037110F" w:rsidRDefault="000708BE" w:rsidP="009818EF">
            <w:pPr>
              <w:keepNext/>
              <w:keepLines/>
              <w:spacing w:before="0" w:after="0" w:line="200" w:lineRule="atLeast"/>
              <w:rPr>
                <w:sz w:val="18"/>
                <w:szCs w:val="18"/>
              </w:rPr>
            </w:pPr>
          </w:p>
          <w:p w14:paraId="0F5A90F5" w14:textId="1A6D25E4" w:rsidR="000708BE" w:rsidRPr="0037110F" w:rsidRDefault="000157D0" w:rsidP="009818EF">
            <w:pPr>
              <w:keepNext/>
              <w:keepLines/>
              <w:spacing w:before="0" w:after="0" w:line="200" w:lineRule="atLeast"/>
              <w:rPr>
                <w:sz w:val="18"/>
                <w:szCs w:val="18"/>
              </w:rPr>
            </w:pPr>
            <w:proofErr w:type="spellStart"/>
            <w:r w:rsidRPr="0037110F">
              <w:rPr>
                <w:sz w:val="18"/>
                <w:szCs w:val="18"/>
              </w:rPr>
              <w:t>Itron</w:t>
            </w:r>
            <w:proofErr w:type="spellEnd"/>
            <w:r w:rsidRPr="0037110F">
              <w:rPr>
                <w:sz w:val="18"/>
                <w:szCs w:val="18"/>
              </w:rPr>
              <w:t xml:space="preserve">, Inc. 2011. </w:t>
            </w:r>
            <w:r w:rsidRPr="0037110F">
              <w:rPr>
                <w:i/>
                <w:sz w:val="18"/>
                <w:szCs w:val="18"/>
              </w:rPr>
              <w:t>DEER Database 2011 Update Documentation.</w:t>
            </w:r>
            <w:r w:rsidRPr="0037110F">
              <w:rPr>
                <w:sz w:val="18"/>
                <w:szCs w:val="18"/>
              </w:rPr>
              <w:t xml:space="preserve"> Prepared for the California Public Utilities Commission. </w:t>
            </w:r>
            <w:r w:rsidR="002A2D5C" w:rsidRPr="0037110F">
              <w:rPr>
                <w:sz w:val="18"/>
                <w:szCs w:val="18"/>
              </w:rPr>
              <w:t>T</w:t>
            </w:r>
            <w:r w:rsidR="000708BE" w:rsidRPr="0037110F">
              <w:rPr>
                <w:sz w:val="18"/>
                <w:szCs w:val="18"/>
              </w:rPr>
              <w:t>able 13-4</w:t>
            </w:r>
          </w:p>
        </w:tc>
      </w:tr>
      <w:tr w:rsidR="003E79E8" w:rsidRPr="00B425AD" w14:paraId="6D374B20" w14:textId="77777777" w:rsidTr="00BE6116">
        <w:trPr>
          <w:trHeight w:val="683"/>
        </w:trPr>
        <w:tc>
          <w:tcPr>
            <w:tcW w:w="1980" w:type="dxa"/>
            <w:vAlign w:val="center"/>
          </w:tcPr>
          <w:p w14:paraId="2CDBF35A" w14:textId="6672871B" w:rsidR="003E79E8" w:rsidRPr="00B425AD" w:rsidRDefault="003E79E8" w:rsidP="009818EF">
            <w:pPr>
              <w:keepNext/>
              <w:keepLines/>
              <w:spacing w:before="0" w:after="0" w:line="200" w:lineRule="atLeast"/>
              <w:rPr>
                <w:rFonts w:cstheme="minorHAnsi"/>
                <w:sz w:val="20"/>
                <w:szCs w:val="20"/>
              </w:rPr>
            </w:pPr>
            <w:r>
              <w:rPr>
                <w:rFonts w:cstheme="minorHAnsi"/>
                <w:sz w:val="20"/>
                <w:szCs w:val="20"/>
              </w:rPr>
              <w:t xml:space="preserve">NTG – </w:t>
            </w:r>
            <w:r w:rsidR="002B5CDA">
              <w:rPr>
                <w:rFonts w:cstheme="minorHAnsi"/>
                <w:sz w:val="20"/>
                <w:szCs w:val="20"/>
              </w:rPr>
              <w:t>R</w:t>
            </w:r>
            <w:r>
              <w:rPr>
                <w:rFonts w:cstheme="minorHAnsi"/>
                <w:sz w:val="20"/>
                <w:szCs w:val="20"/>
              </w:rPr>
              <w:t>esidential default</w:t>
            </w:r>
            <w:r w:rsidR="00920D26">
              <w:rPr>
                <w:rFonts w:cstheme="minorHAnsi"/>
                <w:sz w:val="20"/>
                <w:szCs w:val="20"/>
              </w:rPr>
              <w:t xml:space="preserve">, non-direct install </w:t>
            </w:r>
          </w:p>
        </w:tc>
        <w:tc>
          <w:tcPr>
            <w:tcW w:w="990" w:type="dxa"/>
            <w:shd w:val="clear" w:color="auto" w:fill="auto"/>
            <w:vAlign w:val="center"/>
          </w:tcPr>
          <w:p w14:paraId="0D139EF6" w14:textId="6C40F669" w:rsidR="003E79E8" w:rsidRPr="00031810" w:rsidRDefault="003E79E8" w:rsidP="009818EF">
            <w:pPr>
              <w:keepNext/>
              <w:keepLines/>
              <w:spacing w:before="0" w:after="0" w:line="200" w:lineRule="atLeast"/>
              <w:jc w:val="center"/>
              <w:rPr>
                <w:rFonts w:cstheme="minorHAnsi"/>
                <w:sz w:val="20"/>
                <w:szCs w:val="20"/>
              </w:rPr>
            </w:pPr>
            <w:r>
              <w:rPr>
                <w:rFonts w:cstheme="minorHAnsi"/>
                <w:sz w:val="20"/>
                <w:szCs w:val="20"/>
              </w:rPr>
              <w:t>0.55</w:t>
            </w:r>
          </w:p>
        </w:tc>
        <w:tc>
          <w:tcPr>
            <w:tcW w:w="1080" w:type="dxa"/>
            <w:vAlign w:val="center"/>
          </w:tcPr>
          <w:p w14:paraId="44C5FFFC" w14:textId="50E3BFCA" w:rsidR="003E79E8" w:rsidRPr="00031810" w:rsidRDefault="003E79E8" w:rsidP="009818EF">
            <w:pPr>
              <w:keepNext/>
              <w:keepLines/>
              <w:spacing w:before="0" w:after="0" w:line="200" w:lineRule="atLeast"/>
              <w:jc w:val="center"/>
              <w:rPr>
                <w:rFonts w:cstheme="minorHAnsi"/>
                <w:sz w:val="20"/>
                <w:szCs w:val="20"/>
              </w:rPr>
            </w:pPr>
            <w:r>
              <w:rPr>
                <w:rFonts w:cstheme="minorHAnsi"/>
                <w:sz w:val="20"/>
                <w:szCs w:val="20"/>
              </w:rPr>
              <w:t>0.55</w:t>
            </w:r>
          </w:p>
        </w:tc>
        <w:tc>
          <w:tcPr>
            <w:tcW w:w="5490" w:type="dxa"/>
            <w:vAlign w:val="center"/>
          </w:tcPr>
          <w:p w14:paraId="6CE397A5" w14:textId="77777777" w:rsidR="00920D26" w:rsidRPr="0037110F" w:rsidRDefault="00920D26" w:rsidP="00920D26">
            <w:pPr>
              <w:keepNext/>
              <w:keepLines/>
              <w:spacing w:before="0" w:after="0" w:line="200" w:lineRule="atLeast"/>
              <w:rPr>
                <w:sz w:val="18"/>
                <w:szCs w:val="18"/>
              </w:rPr>
            </w:pPr>
            <w:r w:rsidRPr="00A339E0">
              <w:rPr>
                <w:sz w:val="18"/>
                <w:szCs w:val="18"/>
              </w:rPr>
              <w:t>California Public Utilities Commission (CPUC), Energy Division. 2013. “Workpaper Disposition for Water Fixtures.” February 22.</w:t>
            </w:r>
            <w:r>
              <w:rPr>
                <w:sz w:val="18"/>
                <w:szCs w:val="18"/>
              </w:rPr>
              <w:t xml:space="preserve"> Page 6.</w:t>
            </w:r>
          </w:p>
          <w:p w14:paraId="193834DF" w14:textId="77777777" w:rsidR="003E79E8" w:rsidRDefault="003E79E8" w:rsidP="009818EF">
            <w:pPr>
              <w:keepNext/>
              <w:keepLines/>
              <w:spacing w:before="0" w:after="0" w:line="200" w:lineRule="atLeast"/>
              <w:rPr>
                <w:sz w:val="18"/>
                <w:szCs w:val="18"/>
              </w:rPr>
            </w:pPr>
          </w:p>
          <w:p w14:paraId="7AFA3E5C" w14:textId="1C511213" w:rsidR="00920D26" w:rsidRPr="00A339E0" w:rsidRDefault="00920D26" w:rsidP="009818EF">
            <w:pPr>
              <w:keepNext/>
              <w:keepLines/>
              <w:spacing w:before="0" w:after="0" w:line="200" w:lineRule="atLeast"/>
              <w:rPr>
                <w:sz w:val="18"/>
                <w:szCs w:val="18"/>
              </w:rPr>
            </w:pPr>
            <w:proofErr w:type="spellStart"/>
            <w:r w:rsidRPr="00E60C2B">
              <w:rPr>
                <w:sz w:val="18"/>
                <w:szCs w:val="18"/>
              </w:rPr>
              <w:t>Itron</w:t>
            </w:r>
            <w:proofErr w:type="spellEnd"/>
            <w:r w:rsidRPr="00E60C2B">
              <w:rPr>
                <w:sz w:val="18"/>
                <w:szCs w:val="18"/>
              </w:rPr>
              <w:t xml:space="preserve">, Inc. 2011. </w:t>
            </w:r>
            <w:r w:rsidRPr="00E60C2B">
              <w:rPr>
                <w:i/>
                <w:sz w:val="18"/>
                <w:szCs w:val="18"/>
              </w:rPr>
              <w:t>DEER Database 2011 Update Documentation.</w:t>
            </w:r>
            <w:r w:rsidRPr="00E60C2B">
              <w:rPr>
                <w:sz w:val="18"/>
                <w:szCs w:val="18"/>
              </w:rPr>
              <w:t xml:space="preserve"> Prepared for the California Public Utilities Commission.  Page 15-4 Table 15-3.</w:t>
            </w:r>
          </w:p>
        </w:tc>
      </w:tr>
      <w:bookmarkEnd w:id="105"/>
    </w:tbl>
    <w:p w14:paraId="419150F3" w14:textId="7E6C38B4" w:rsidR="00107EA7" w:rsidRDefault="00107EA7" w:rsidP="004142EF"/>
    <w:p w14:paraId="0C0E3029" w14:textId="5F5E0B40" w:rsidR="00502601" w:rsidRDefault="00502601" w:rsidP="00502601">
      <w:pPr>
        <w:rPr>
          <w:rFonts w:cs="Calibri Light"/>
        </w:rPr>
      </w:pPr>
      <w:r>
        <w:rPr>
          <w:rFonts w:cs="Calibri Light"/>
        </w:rPr>
        <w:t xml:space="preserve">In conformance with Resolution E-4952, an adjustment factor is applied to the “above-code” NTG ratio </w:t>
      </w:r>
      <w:r w:rsidR="00974C18">
        <w:rPr>
          <w:rFonts w:cs="Calibri Light"/>
        </w:rPr>
        <w:t xml:space="preserve">specified above </w:t>
      </w:r>
      <w:r>
        <w:rPr>
          <w:rFonts w:cs="Calibri Light"/>
        </w:rPr>
        <w:t xml:space="preserve">to the “below-code” savings of an </w:t>
      </w:r>
      <w:r>
        <w:rPr>
          <w:rFonts w:cs="Calibri Light"/>
          <w:i/>
          <w:iCs/>
        </w:rPr>
        <w:t>accelerated replacement installation</w:t>
      </w:r>
      <w:r>
        <w:rPr>
          <w:rFonts w:cs="Calibri Light"/>
        </w:rPr>
        <w:t xml:space="preserve">. </w:t>
      </w:r>
    </w:p>
    <w:p w14:paraId="175B7C9C" w14:textId="0841FB52" w:rsidR="00502601" w:rsidRPr="0059426D" w:rsidRDefault="00502601" w:rsidP="00502601">
      <w:pPr>
        <w:pStyle w:val="Caption"/>
      </w:pPr>
      <w:r>
        <w:t>Net-to-Gross Ratio Adjustment Factor for Accelerated Replacement</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55"/>
        <w:gridCol w:w="1170"/>
        <w:gridCol w:w="5310"/>
      </w:tblGrid>
      <w:tr w:rsidR="00502601" w14:paraId="09F75663" w14:textId="77777777" w:rsidTr="00502601">
        <w:tc>
          <w:tcPr>
            <w:tcW w:w="3055" w:type="dxa"/>
            <w:shd w:val="clear" w:color="auto" w:fill="F2F2F2"/>
            <w:tcMar>
              <w:top w:w="0" w:type="dxa"/>
              <w:left w:w="108" w:type="dxa"/>
              <w:bottom w:w="0" w:type="dxa"/>
              <w:right w:w="108" w:type="dxa"/>
            </w:tcMar>
            <w:vAlign w:val="bottom"/>
            <w:hideMark/>
          </w:tcPr>
          <w:p w14:paraId="6E574BD0" w14:textId="77777777" w:rsidR="00502601" w:rsidRDefault="00502601">
            <w:pPr>
              <w:keepNext/>
              <w:spacing w:before="20" w:after="20"/>
              <w:rPr>
                <w:rFonts w:cs="Calibri Light"/>
                <w:b/>
                <w:bCs/>
                <w:sz w:val="20"/>
                <w:szCs w:val="20"/>
              </w:rPr>
            </w:pPr>
            <w:r>
              <w:rPr>
                <w:rFonts w:cs="Calibri Light"/>
                <w:b/>
                <w:bCs/>
                <w:sz w:val="20"/>
                <w:szCs w:val="20"/>
              </w:rPr>
              <w:t>Parameter</w:t>
            </w:r>
          </w:p>
        </w:tc>
        <w:tc>
          <w:tcPr>
            <w:tcW w:w="1170" w:type="dxa"/>
            <w:shd w:val="clear" w:color="auto" w:fill="F2F2F2"/>
            <w:tcMar>
              <w:top w:w="0" w:type="dxa"/>
              <w:left w:w="108" w:type="dxa"/>
              <w:bottom w:w="0" w:type="dxa"/>
              <w:right w:w="108" w:type="dxa"/>
            </w:tcMar>
            <w:vAlign w:val="bottom"/>
            <w:hideMark/>
          </w:tcPr>
          <w:p w14:paraId="26046991" w14:textId="77777777" w:rsidR="00502601" w:rsidRDefault="00502601">
            <w:pPr>
              <w:keepNext/>
              <w:spacing w:before="20" w:after="20"/>
              <w:jc w:val="center"/>
              <w:rPr>
                <w:rFonts w:cs="Calibri Light"/>
                <w:b/>
                <w:bCs/>
                <w:sz w:val="20"/>
                <w:szCs w:val="20"/>
              </w:rPr>
            </w:pPr>
            <w:r>
              <w:rPr>
                <w:rFonts w:cs="Calibri Light"/>
                <w:b/>
                <w:bCs/>
                <w:sz w:val="20"/>
                <w:szCs w:val="20"/>
              </w:rPr>
              <w:t>Value</w:t>
            </w:r>
          </w:p>
        </w:tc>
        <w:tc>
          <w:tcPr>
            <w:tcW w:w="5310" w:type="dxa"/>
            <w:shd w:val="clear" w:color="auto" w:fill="F2F2F2"/>
            <w:tcMar>
              <w:top w:w="0" w:type="dxa"/>
              <w:left w:w="108" w:type="dxa"/>
              <w:bottom w:w="0" w:type="dxa"/>
              <w:right w:w="108" w:type="dxa"/>
            </w:tcMar>
            <w:hideMark/>
          </w:tcPr>
          <w:p w14:paraId="1252B506" w14:textId="77777777" w:rsidR="00502601" w:rsidRDefault="00502601">
            <w:pPr>
              <w:keepNext/>
              <w:spacing w:before="20" w:after="20"/>
              <w:jc w:val="center"/>
              <w:rPr>
                <w:rFonts w:cs="Calibri Light"/>
                <w:b/>
                <w:bCs/>
                <w:sz w:val="20"/>
                <w:szCs w:val="20"/>
              </w:rPr>
            </w:pPr>
            <w:r>
              <w:rPr>
                <w:rFonts w:cs="Calibri Light"/>
                <w:b/>
                <w:bCs/>
                <w:sz w:val="20"/>
                <w:szCs w:val="20"/>
              </w:rPr>
              <w:t>Source</w:t>
            </w:r>
          </w:p>
        </w:tc>
      </w:tr>
      <w:tr w:rsidR="00502601" w14:paraId="56D15D9A" w14:textId="77777777" w:rsidTr="00502601">
        <w:tc>
          <w:tcPr>
            <w:tcW w:w="3055" w:type="dxa"/>
            <w:tcMar>
              <w:top w:w="0" w:type="dxa"/>
              <w:left w:w="108" w:type="dxa"/>
              <w:bottom w:w="0" w:type="dxa"/>
              <w:right w:w="108" w:type="dxa"/>
            </w:tcMar>
            <w:vAlign w:val="center"/>
            <w:hideMark/>
          </w:tcPr>
          <w:p w14:paraId="65595CDE" w14:textId="7C926ADD" w:rsidR="00502601" w:rsidRDefault="00502601">
            <w:pPr>
              <w:keepNext/>
              <w:spacing w:before="20" w:after="20"/>
              <w:rPr>
                <w:rFonts w:ascii="Calibri" w:hAnsi="Calibri" w:cs="Calibri"/>
                <w:sz w:val="20"/>
                <w:szCs w:val="20"/>
              </w:rPr>
            </w:pPr>
            <w:r>
              <w:rPr>
                <w:rFonts w:cs="Calibri Light"/>
                <w:sz w:val="20"/>
                <w:szCs w:val="20"/>
              </w:rPr>
              <w:t xml:space="preserve">NTG adjustment factor </w:t>
            </w:r>
          </w:p>
        </w:tc>
        <w:tc>
          <w:tcPr>
            <w:tcW w:w="1170" w:type="dxa"/>
            <w:tcMar>
              <w:top w:w="0" w:type="dxa"/>
              <w:left w:w="108" w:type="dxa"/>
              <w:bottom w:w="0" w:type="dxa"/>
              <w:right w:w="108" w:type="dxa"/>
            </w:tcMar>
            <w:vAlign w:val="center"/>
            <w:hideMark/>
          </w:tcPr>
          <w:p w14:paraId="304C99D9" w14:textId="77777777" w:rsidR="00502601" w:rsidRDefault="00502601">
            <w:pPr>
              <w:keepNext/>
              <w:spacing w:before="20" w:after="20"/>
              <w:jc w:val="center"/>
              <w:rPr>
                <w:rFonts w:cs="Calibri Light"/>
                <w:sz w:val="20"/>
                <w:szCs w:val="20"/>
              </w:rPr>
            </w:pPr>
            <w:r>
              <w:rPr>
                <w:rFonts w:cs="Calibri Light"/>
                <w:sz w:val="20"/>
                <w:szCs w:val="20"/>
              </w:rPr>
              <w:t>0.75</w:t>
            </w:r>
          </w:p>
        </w:tc>
        <w:tc>
          <w:tcPr>
            <w:tcW w:w="5310" w:type="dxa"/>
            <w:tcMar>
              <w:top w:w="0" w:type="dxa"/>
              <w:left w:w="108" w:type="dxa"/>
              <w:bottom w:w="0" w:type="dxa"/>
              <w:right w:w="108" w:type="dxa"/>
            </w:tcMar>
            <w:hideMark/>
          </w:tcPr>
          <w:p w14:paraId="05B6F493" w14:textId="77777777" w:rsidR="00502601" w:rsidRDefault="00502601">
            <w:pPr>
              <w:keepNext/>
              <w:spacing w:before="20" w:after="20"/>
              <w:rPr>
                <w:rFonts w:cs="Calibri Light"/>
                <w:sz w:val="20"/>
                <w:szCs w:val="20"/>
              </w:rPr>
            </w:pPr>
            <w:r>
              <w:rPr>
                <w:rStyle w:val="eTRMFootnoteTextChar"/>
                <w:szCs w:val="18"/>
              </w:rPr>
              <w:t xml:space="preserve">California Public Utilities Commission (CPUC). 2018. </w:t>
            </w:r>
            <w:r>
              <w:rPr>
                <w:rStyle w:val="eTRMFootnoteTextChar"/>
                <w:i/>
                <w:iCs/>
                <w:szCs w:val="18"/>
              </w:rPr>
              <w:t>Resolution E-4952.</w:t>
            </w:r>
            <w:r>
              <w:rPr>
                <w:rStyle w:val="eTRMFootnoteTextChar"/>
                <w:szCs w:val="18"/>
              </w:rPr>
              <w:t xml:space="preserve"> October 11. Op 1. Pp 58 – 59.</w:t>
            </w:r>
          </w:p>
        </w:tc>
      </w:tr>
    </w:tbl>
    <w:p w14:paraId="379A228C" w14:textId="77777777" w:rsidR="00502601" w:rsidRPr="004B06E3" w:rsidRDefault="00502601" w:rsidP="004142EF"/>
    <w:p w14:paraId="323B5B02" w14:textId="4C4B13DC" w:rsidR="007D230B" w:rsidRPr="004B06E3" w:rsidRDefault="00D02C36" w:rsidP="00462BB6">
      <w:pPr>
        <w:pStyle w:val="eTRMHeading3"/>
      </w:pPr>
      <w:bookmarkStart w:id="106" w:name="_Toc486490864"/>
      <w:bookmarkStart w:id="107" w:name="_Toc486580935"/>
      <w:bookmarkStart w:id="108" w:name="_Toc12567175"/>
      <w:r>
        <w:t>Gross Savings Installation Adjustment (</w:t>
      </w:r>
      <w:r w:rsidR="007D230B" w:rsidRPr="004B06E3">
        <w:t>GSIA</w:t>
      </w:r>
      <w:bookmarkEnd w:id="106"/>
      <w:bookmarkEnd w:id="107"/>
      <w:r>
        <w:t>)</w:t>
      </w:r>
      <w:bookmarkEnd w:id="108"/>
    </w:p>
    <w:p w14:paraId="65B2971F" w14:textId="3FF53A5A" w:rsidR="00A73BE1" w:rsidRPr="00A73BE1" w:rsidRDefault="008560FF" w:rsidP="00A73BE1">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w:t>
      </w:r>
      <w:r>
        <w:t>plication, and delivery method.</w:t>
      </w:r>
      <w:r w:rsidRPr="00125678">
        <w:t xml:space="preserve"> These values are based upon t</w:t>
      </w:r>
      <w:r w:rsidR="00A73BE1" w:rsidRPr="00125678">
        <w:t xml:space="preserve">he </w:t>
      </w:r>
      <w:r w:rsidR="002C33F2">
        <w:t>“Workpaper Disposition for Water Fixtures” issued by the California Public Utilities Commission (CPUC) in 2013</w:t>
      </w:r>
      <w:r w:rsidR="00A73BE1" w:rsidRPr="00125678">
        <w:t>.</w:t>
      </w:r>
    </w:p>
    <w:p w14:paraId="022915CE" w14:textId="4C0D74C9" w:rsidR="00DE1A0F" w:rsidRPr="0059426D" w:rsidRDefault="009103B6" w:rsidP="008560FF">
      <w:pPr>
        <w:pStyle w:val="Caption"/>
      </w:pPr>
      <w:r>
        <w:t xml:space="preserve">Gross Savings </w:t>
      </w:r>
      <w:r w:rsidR="00DE1A0F">
        <w:t xml:space="preserve">Installation </w:t>
      </w:r>
      <w:r>
        <w:t>Adjustment Rates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80"/>
        <w:gridCol w:w="990"/>
        <w:gridCol w:w="1080"/>
        <w:gridCol w:w="5490"/>
      </w:tblGrid>
      <w:tr w:rsidR="00B425AD" w:rsidRPr="00052C24" w14:paraId="2C331F20" w14:textId="77777777" w:rsidTr="00BE6116">
        <w:trPr>
          <w:trHeight w:val="296"/>
        </w:trPr>
        <w:tc>
          <w:tcPr>
            <w:tcW w:w="1980" w:type="dxa"/>
            <w:shd w:val="clear" w:color="auto" w:fill="F2F2F2" w:themeFill="background1" w:themeFillShade="F2"/>
            <w:vAlign w:val="bottom"/>
          </w:tcPr>
          <w:p w14:paraId="47CBB6D6" w14:textId="77777777" w:rsidR="00B425AD" w:rsidRPr="00052C24" w:rsidRDefault="00B425AD" w:rsidP="002C33F2">
            <w:pPr>
              <w:keepNext/>
              <w:keepLines/>
              <w:spacing w:before="0" w:after="0" w:line="200" w:lineRule="atLeast"/>
              <w:jc w:val="center"/>
              <w:rPr>
                <w:b/>
                <w:sz w:val="20"/>
              </w:rPr>
            </w:pPr>
            <w:bookmarkStart w:id="109" w:name="_Hlk504723898"/>
            <w:r>
              <w:rPr>
                <w:b/>
                <w:sz w:val="20"/>
              </w:rPr>
              <w:t>Parameter</w:t>
            </w:r>
          </w:p>
        </w:tc>
        <w:tc>
          <w:tcPr>
            <w:tcW w:w="990" w:type="dxa"/>
            <w:shd w:val="clear" w:color="auto" w:fill="F2F2F2" w:themeFill="background1" w:themeFillShade="F2"/>
            <w:vAlign w:val="bottom"/>
          </w:tcPr>
          <w:p w14:paraId="6D320801" w14:textId="407E0542" w:rsidR="00B425AD" w:rsidRPr="00052C24" w:rsidRDefault="00B425AD" w:rsidP="002C33F2">
            <w:pPr>
              <w:keepNext/>
              <w:keepLines/>
              <w:spacing w:before="0" w:after="0" w:line="200" w:lineRule="atLeast"/>
              <w:jc w:val="center"/>
              <w:rPr>
                <w:b/>
                <w:sz w:val="20"/>
              </w:rPr>
            </w:pPr>
            <w:r>
              <w:rPr>
                <w:b/>
                <w:sz w:val="20"/>
              </w:rPr>
              <w:t xml:space="preserve">Gas  </w:t>
            </w:r>
          </w:p>
        </w:tc>
        <w:tc>
          <w:tcPr>
            <w:tcW w:w="1080" w:type="dxa"/>
            <w:shd w:val="clear" w:color="auto" w:fill="F2F2F2" w:themeFill="background1" w:themeFillShade="F2"/>
            <w:vAlign w:val="bottom"/>
          </w:tcPr>
          <w:p w14:paraId="336A0D85" w14:textId="58BFDDEF" w:rsidR="00B425AD" w:rsidRPr="00052C24" w:rsidRDefault="00B425AD" w:rsidP="002C33F2">
            <w:pPr>
              <w:keepNext/>
              <w:keepLines/>
              <w:spacing w:before="0" w:after="0" w:line="200" w:lineRule="atLeast"/>
              <w:jc w:val="center"/>
              <w:rPr>
                <w:b/>
                <w:sz w:val="20"/>
              </w:rPr>
            </w:pPr>
            <w:r>
              <w:rPr>
                <w:b/>
                <w:sz w:val="20"/>
              </w:rPr>
              <w:t>Electric</w:t>
            </w:r>
          </w:p>
        </w:tc>
        <w:tc>
          <w:tcPr>
            <w:tcW w:w="5490" w:type="dxa"/>
            <w:shd w:val="clear" w:color="auto" w:fill="F2F2F2" w:themeFill="background1" w:themeFillShade="F2"/>
            <w:vAlign w:val="bottom"/>
          </w:tcPr>
          <w:p w14:paraId="0695643D" w14:textId="77777777" w:rsidR="00B425AD" w:rsidRDefault="00B425AD" w:rsidP="002C33F2">
            <w:pPr>
              <w:keepNext/>
              <w:keepLines/>
              <w:spacing w:before="0" w:after="0" w:line="200" w:lineRule="atLeast"/>
              <w:jc w:val="center"/>
              <w:rPr>
                <w:b/>
                <w:sz w:val="20"/>
              </w:rPr>
            </w:pPr>
            <w:r>
              <w:rPr>
                <w:b/>
                <w:sz w:val="20"/>
              </w:rPr>
              <w:t>Source</w:t>
            </w:r>
          </w:p>
        </w:tc>
      </w:tr>
      <w:tr w:rsidR="00B425AD" w:rsidRPr="009062D0" w14:paraId="2DDB6988" w14:textId="77777777" w:rsidTr="00BE6116">
        <w:trPr>
          <w:trHeight w:val="20"/>
        </w:trPr>
        <w:tc>
          <w:tcPr>
            <w:tcW w:w="1980" w:type="dxa"/>
            <w:vAlign w:val="center"/>
          </w:tcPr>
          <w:p w14:paraId="403DD37C" w14:textId="77777777" w:rsidR="00B425AD" w:rsidRPr="009062D0" w:rsidRDefault="00B425AD" w:rsidP="002C33F2">
            <w:pPr>
              <w:keepNext/>
              <w:keepLines/>
              <w:spacing w:before="0" w:after="0" w:line="200" w:lineRule="atLeast"/>
              <w:rPr>
                <w:sz w:val="20"/>
              </w:rPr>
            </w:pPr>
            <w:r>
              <w:rPr>
                <w:sz w:val="20"/>
              </w:rPr>
              <w:t>GSIA</w:t>
            </w:r>
          </w:p>
        </w:tc>
        <w:tc>
          <w:tcPr>
            <w:tcW w:w="990" w:type="dxa"/>
            <w:shd w:val="clear" w:color="auto" w:fill="auto"/>
            <w:vAlign w:val="center"/>
          </w:tcPr>
          <w:p w14:paraId="1EE7131E" w14:textId="7DA3F296" w:rsidR="00B425AD" w:rsidRPr="00031810" w:rsidRDefault="00B425AD" w:rsidP="002C33F2">
            <w:pPr>
              <w:keepNext/>
              <w:keepLines/>
              <w:spacing w:before="0" w:after="0" w:line="200" w:lineRule="atLeast"/>
              <w:jc w:val="center"/>
              <w:rPr>
                <w:sz w:val="20"/>
              </w:rPr>
            </w:pPr>
            <w:r w:rsidRPr="00031810">
              <w:rPr>
                <w:sz w:val="20"/>
                <w:szCs w:val="20"/>
              </w:rPr>
              <w:t>0.665</w:t>
            </w:r>
          </w:p>
        </w:tc>
        <w:tc>
          <w:tcPr>
            <w:tcW w:w="1080" w:type="dxa"/>
            <w:vAlign w:val="center"/>
          </w:tcPr>
          <w:p w14:paraId="21D51BED" w14:textId="61C1005F" w:rsidR="00B425AD" w:rsidRPr="00031810" w:rsidRDefault="00B425AD" w:rsidP="002C33F2">
            <w:pPr>
              <w:keepNext/>
              <w:keepLines/>
              <w:spacing w:before="0" w:after="0" w:line="200" w:lineRule="atLeast"/>
              <w:jc w:val="center"/>
              <w:rPr>
                <w:sz w:val="20"/>
              </w:rPr>
            </w:pPr>
            <w:r w:rsidRPr="00031810">
              <w:rPr>
                <w:sz w:val="20"/>
                <w:szCs w:val="20"/>
              </w:rPr>
              <w:t>0.665</w:t>
            </w:r>
          </w:p>
        </w:tc>
        <w:tc>
          <w:tcPr>
            <w:tcW w:w="5490" w:type="dxa"/>
            <w:vAlign w:val="center"/>
          </w:tcPr>
          <w:p w14:paraId="217B4CC4" w14:textId="13819857" w:rsidR="00B425AD" w:rsidRDefault="00A339E0" w:rsidP="002C33F2">
            <w:pPr>
              <w:keepNext/>
              <w:keepLines/>
              <w:spacing w:before="0" w:after="0" w:line="240" w:lineRule="auto"/>
              <w:rPr>
                <w:sz w:val="18"/>
              </w:rPr>
            </w:pPr>
            <w:r w:rsidRPr="00A339E0">
              <w:rPr>
                <w:sz w:val="18"/>
              </w:rPr>
              <w:t>California Public Utilities Commission (CPUC), Energy Division. 2013. “Workpaper Disposition for Water Fixtures.” February 22.</w:t>
            </w:r>
            <w:r>
              <w:rPr>
                <w:sz w:val="18"/>
              </w:rPr>
              <w:t xml:space="preserve"> </w:t>
            </w:r>
            <w:r w:rsidR="0037110F" w:rsidRPr="0037110F">
              <w:rPr>
                <w:sz w:val="18"/>
              </w:rPr>
              <w:t>Page 6.</w:t>
            </w:r>
          </w:p>
          <w:p w14:paraId="3EA9C800" w14:textId="77777777" w:rsidR="0037110F" w:rsidRDefault="0037110F" w:rsidP="002C33F2">
            <w:pPr>
              <w:keepNext/>
              <w:keepLines/>
              <w:spacing w:before="0" w:after="0" w:line="240" w:lineRule="auto"/>
              <w:rPr>
                <w:rFonts w:eastAsia="Times New Roman" w:cs="Times New Roman"/>
                <w:color w:val="000000"/>
                <w:sz w:val="18"/>
                <w:szCs w:val="18"/>
              </w:rPr>
            </w:pPr>
          </w:p>
          <w:p w14:paraId="079D0527" w14:textId="1CC4529B" w:rsidR="0037110F" w:rsidRPr="009818EF" w:rsidRDefault="0037110F" w:rsidP="002C33F2">
            <w:pPr>
              <w:keepNext/>
              <w:keepLines/>
              <w:spacing w:before="0" w:after="0" w:line="240" w:lineRule="auto"/>
              <w:rPr>
                <w:rFonts w:eastAsia="Times New Roman" w:cs="Times New Roman"/>
                <w:color w:val="000000"/>
                <w:sz w:val="18"/>
                <w:szCs w:val="18"/>
              </w:rPr>
            </w:pPr>
            <w:r w:rsidRPr="0037110F">
              <w:rPr>
                <w:rFonts w:eastAsia="Times New Roman" w:cs="Times New Roman"/>
                <w:color w:val="000000"/>
                <w:sz w:val="18"/>
                <w:szCs w:val="18"/>
              </w:rPr>
              <w:t>The Cadmus Group, Inc. 2010.</w:t>
            </w:r>
            <w:r w:rsidRPr="00170CEB">
              <w:rPr>
                <w:rFonts w:eastAsia="Times New Roman" w:cs="Times New Roman"/>
                <w:i/>
                <w:color w:val="000000"/>
                <w:sz w:val="18"/>
                <w:szCs w:val="18"/>
              </w:rPr>
              <w:t xml:space="preserve"> Residential Retrofit High Impact Measure Evaluation Report</w:t>
            </w:r>
            <w:r w:rsidRPr="0037110F">
              <w:rPr>
                <w:rFonts w:eastAsia="Times New Roman" w:cs="Times New Roman"/>
                <w:color w:val="000000"/>
                <w:sz w:val="18"/>
                <w:szCs w:val="18"/>
              </w:rPr>
              <w:t>. Prepared for the California Public Utilities Commission Energy Division.</w:t>
            </w:r>
          </w:p>
        </w:tc>
      </w:tr>
      <w:bookmarkEnd w:id="109"/>
    </w:tbl>
    <w:p w14:paraId="0CBC5A00" w14:textId="77777777" w:rsidR="00B425AD" w:rsidRPr="004B06E3" w:rsidRDefault="00B425AD" w:rsidP="004142EF"/>
    <w:p w14:paraId="498C05E5" w14:textId="3EB6BECC" w:rsidR="002C67DF" w:rsidRPr="004B06E3" w:rsidRDefault="002C67DF" w:rsidP="00462BB6">
      <w:pPr>
        <w:pStyle w:val="eTRMHeading3"/>
      </w:pPr>
      <w:bookmarkStart w:id="110" w:name="_Toc486490865"/>
      <w:bookmarkStart w:id="111" w:name="_Toc486580936"/>
      <w:bookmarkStart w:id="112" w:name="_Toc12567176"/>
      <w:r w:rsidRPr="004B06E3">
        <w:t xml:space="preserve">Non-Energy </w:t>
      </w:r>
      <w:bookmarkEnd w:id="110"/>
      <w:bookmarkEnd w:id="111"/>
      <w:r w:rsidR="002671D7">
        <w:t>Impacts</w:t>
      </w:r>
      <w:bookmarkEnd w:id="112"/>
    </w:p>
    <w:p w14:paraId="1BCB0A7E" w14:textId="1A3D1629" w:rsidR="002C67DF" w:rsidRDefault="00764FD0" w:rsidP="004142EF">
      <w:bookmarkStart w:id="113" w:name="_Hlk511805739"/>
      <w:r>
        <w:t>N</w:t>
      </w:r>
      <w:r w:rsidR="002671D7" w:rsidRPr="002C33F2">
        <w:t xml:space="preserve">on-energy impacts </w:t>
      </w:r>
      <w:r w:rsidR="002C33F2">
        <w:t>that result from</w:t>
      </w:r>
      <w:r w:rsidR="002671D7" w:rsidRPr="002C33F2">
        <w:t xml:space="preserve"> the installation of a low-flow aerator</w:t>
      </w:r>
      <w:r w:rsidR="00A73BE1" w:rsidRPr="002C33F2">
        <w:t xml:space="preserve"> </w:t>
      </w:r>
      <w:r w:rsidR="002671D7" w:rsidRPr="002C33F2">
        <w:t>is</w:t>
      </w:r>
      <w:r w:rsidR="002C33F2" w:rsidRPr="002C33F2">
        <w:t xml:space="preserve"> the</w:t>
      </w:r>
      <w:r w:rsidR="00A73BE1" w:rsidRPr="002C33F2">
        <w:t xml:space="preserve"> </w:t>
      </w:r>
      <w:r w:rsidR="002C33F2" w:rsidRPr="002C33F2">
        <w:t xml:space="preserve">reduction of </w:t>
      </w:r>
      <w:r w:rsidR="002C33F2">
        <w:t xml:space="preserve">water </w:t>
      </w:r>
      <w:r>
        <w:t>usage</w:t>
      </w:r>
      <w:r w:rsidR="002C33F2" w:rsidRPr="002C33F2">
        <w:t>.</w:t>
      </w:r>
      <w:r w:rsidR="00F96F96" w:rsidRPr="002C33F2">
        <w:t xml:space="preserve"> </w:t>
      </w:r>
      <w:r w:rsidR="00837472">
        <w:t>T</w:t>
      </w:r>
      <w:r w:rsidR="002C33F2" w:rsidRPr="002C33F2">
        <w:t xml:space="preserve">he calculation of water savings is explained in the </w:t>
      </w:r>
      <w:bookmarkStart w:id="114" w:name="_Hlk511919138"/>
      <w:r>
        <w:t>Gas</w:t>
      </w:r>
      <w:r w:rsidR="002C33F2" w:rsidRPr="002C33F2">
        <w:t xml:space="preserve"> Savings section.</w:t>
      </w:r>
    </w:p>
    <w:bookmarkEnd w:id="113"/>
    <w:bookmarkEnd w:id="114"/>
    <w:p w14:paraId="1035BD07" w14:textId="77777777" w:rsidR="009C31A4" w:rsidRPr="004B06E3" w:rsidRDefault="009C31A4" w:rsidP="004142EF"/>
    <w:p w14:paraId="7D8551BB" w14:textId="760F7D39" w:rsidR="009C31A4" w:rsidRPr="004B06E3" w:rsidRDefault="009C31A4" w:rsidP="00462BB6">
      <w:pPr>
        <w:pStyle w:val="eTRMHeading3"/>
      </w:pPr>
      <w:bookmarkStart w:id="115" w:name="_Toc12567177"/>
      <w:r>
        <w:t>DEER Differences Analysis</w:t>
      </w:r>
      <w:bookmarkEnd w:id="115"/>
    </w:p>
    <w:p w14:paraId="009A39BF" w14:textId="77777777" w:rsidR="0002754C" w:rsidRDefault="0002754C" w:rsidP="0002754C">
      <w:bookmarkStart w:id="116" w:name="_Hlk526856348"/>
      <w:r>
        <w:t>The table below summarizes the inputs and methods that are and are not based upon the Database for Energy Efficient Resources (DEER).</w:t>
      </w:r>
    </w:p>
    <w:bookmarkEnd w:id="116"/>
    <w:p w14:paraId="756C62FB" w14:textId="09F66189" w:rsidR="00EA057C" w:rsidRPr="00920905" w:rsidRDefault="00EA057C" w:rsidP="00031810">
      <w:pPr>
        <w:pStyle w:val="Caption"/>
        <w:keepNext w:val="0"/>
        <w:keepLines w:val="0"/>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031810">
        <w:trPr>
          <w:trHeight w:val="20"/>
          <w:tblHeader/>
        </w:trPr>
        <w:tc>
          <w:tcPr>
            <w:tcW w:w="1730" w:type="pct"/>
            <w:shd w:val="clear" w:color="auto" w:fill="F2F2F2" w:themeFill="background1" w:themeFillShade="F2"/>
          </w:tcPr>
          <w:p w14:paraId="5A1E2CE5" w14:textId="77777777" w:rsidR="00EA057C" w:rsidRPr="00EA057C" w:rsidRDefault="00EA057C" w:rsidP="00031810">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7A676CA9" w:rsidR="00EA057C" w:rsidRPr="00EA057C" w:rsidRDefault="00EA057C" w:rsidP="00031810">
            <w:pPr>
              <w:spacing w:before="20" w:after="20"/>
              <w:rPr>
                <w:rFonts w:cs="Arial"/>
                <w:b/>
                <w:sz w:val="20"/>
                <w:szCs w:val="20"/>
              </w:rPr>
            </w:pPr>
            <w:r>
              <w:rPr>
                <w:rFonts w:cs="Arial"/>
                <w:b/>
                <w:sz w:val="20"/>
                <w:szCs w:val="20"/>
              </w:rPr>
              <w:t xml:space="preserve">Comment </w:t>
            </w:r>
          </w:p>
        </w:tc>
      </w:tr>
      <w:tr w:rsidR="00A73BE1" w:rsidRPr="00500C4E" w14:paraId="33003020" w14:textId="77777777" w:rsidTr="00EA057C">
        <w:trPr>
          <w:trHeight w:val="20"/>
        </w:trPr>
        <w:tc>
          <w:tcPr>
            <w:tcW w:w="1730" w:type="pct"/>
          </w:tcPr>
          <w:p w14:paraId="1F2D360A" w14:textId="77777777" w:rsidR="00A73BE1" w:rsidRPr="002C33F2" w:rsidRDefault="00A73BE1" w:rsidP="00031810">
            <w:pPr>
              <w:spacing w:before="20" w:after="20"/>
              <w:rPr>
                <w:rFonts w:cs="Arial"/>
                <w:sz w:val="20"/>
                <w:szCs w:val="20"/>
              </w:rPr>
            </w:pPr>
            <w:r w:rsidRPr="002C33F2">
              <w:rPr>
                <w:rFonts w:cs="Arial"/>
                <w:sz w:val="20"/>
                <w:szCs w:val="20"/>
              </w:rPr>
              <w:t>Modified DEER methodology</w:t>
            </w:r>
          </w:p>
        </w:tc>
        <w:tc>
          <w:tcPr>
            <w:tcW w:w="3270" w:type="pct"/>
          </w:tcPr>
          <w:p w14:paraId="247EE411" w14:textId="113F2564" w:rsidR="00A73BE1" w:rsidRPr="002C33F2" w:rsidRDefault="00A73BE1" w:rsidP="00031810">
            <w:pPr>
              <w:spacing w:before="20" w:after="20"/>
              <w:rPr>
                <w:rFonts w:cs="Arial"/>
                <w:b/>
                <w:sz w:val="20"/>
                <w:szCs w:val="20"/>
              </w:rPr>
            </w:pPr>
            <w:r w:rsidRPr="002C33F2">
              <w:rPr>
                <w:rFonts w:cstheme="minorHAnsi"/>
                <w:sz w:val="20"/>
                <w:szCs w:val="20"/>
              </w:rPr>
              <w:t xml:space="preserve">No </w:t>
            </w:r>
          </w:p>
        </w:tc>
      </w:tr>
      <w:tr w:rsidR="006E593D" w:rsidRPr="00500C4E" w14:paraId="507422EA" w14:textId="77777777" w:rsidTr="00EA057C">
        <w:trPr>
          <w:trHeight w:val="20"/>
        </w:trPr>
        <w:tc>
          <w:tcPr>
            <w:tcW w:w="1730" w:type="pct"/>
          </w:tcPr>
          <w:p w14:paraId="29430E33" w14:textId="77777777" w:rsidR="006E593D" w:rsidRPr="002C33F2" w:rsidRDefault="006E593D" w:rsidP="00031810">
            <w:pPr>
              <w:spacing w:before="20" w:after="20"/>
              <w:rPr>
                <w:rFonts w:cs="Arial"/>
                <w:sz w:val="20"/>
                <w:szCs w:val="20"/>
              </w:rPr>
            </w:pPr>
            <w:r w:rsidRPr="002C33F2">
              <w:rPr>
                <w:rFonts w:cs="Arial"/>
                <w:sz w:val="20"/>
                <w:szCs w:val="20"/>
              </w:rPr>
              <w:t>Scaled DEER measure</w:t>
            </w:r>
          </w:p>
        </w:tc>
        <w:tc>
          <w:tcPr>
            <w:tcW w:w="3270" w:type="pct"/>
          </w:tcPr>
          <w:p w14:paraId="0C847473" w14:textId="78CF3058" w:rsidR="006E593D" w:rsidRPr="002C33F2" w:rsidRDefault="006E593D" w:rsidP="00031810">
            <w:pPr>
              <w:spacing w:before="20" w:after="20"/>
              <w:rPr>
                <w:rFonts w:cs="Arial"/>
                <w:sz w:val="20"/>
                <w:szCs w:val="20"/>
              </w:rPr>
            </w:pPr>
            <w:r w:rsidRPr="002C33F2">
              <w:rPr>
                <w:rFonts w:cstheme="minorHAnsi"/>
                <w:sz w:val="20"/>
                <w:szCs w:val="20"/>
              </w:rPr>
              <w:t>No</w:t>
            </w:r>
          </w:p>
        </w:tc>
      </w:tr>
      <w:tr w:rsidR="006E593D" w:rsidRPr="00500C4E" w14:paraId="335CDE40" w14:textId="77777777" w:rsidTr="00EA057C">
        <w:trPr>
          <w:trHeight w:val="20"/>
        </w:trPr>
        <w:tc>
          <w:tcPr>
            <w:tcW w:w="1730" w:type="pct"/>
          </w:tcPr>
          <w:p w14:paraId="126C3B42" w14:textId="77777777" w:rsidR="006E593D" w:rsidRPr="002C33F2" w:rsidRDefault="006E593D" w:rsidP="00031810">
            <w:pPr>
              <w:spacing w:before="20" w:after="20"/>
              <w:rPr>
                <w:rFonts w:cs="Arial"/>
                <w:sz w:val="20"/>
                <w:szCs w:val="20"/>
              </w:rPr>
            </w:pPr>
            <w:r w:rsidRPr="002C33F2">
              <w:rPr>
                <w:rFonts w:cs="Arial"/>
                <w:sz w:val="20"/>
                <w:szCs w:val="20"/>
              </w:rPr>
              <w:t>DEER Base Case</w:t>
            </w:r>
          </w:p>
        </w:tc>
        <w:tc>
          <w:tcPr>
            <w:tcW w:w="3270" w:type="pct"/>
          </w:tcPr>
          <w:p w14:paraId="5D2A1B0E" w14:textId="3F7EA3C5" w:rsidR="006E593D" w:rsidRPr="002C33F2" w:rsidRDefault="006E593D" w:rsidP="00031810">
            <w:pPr>
              <w:spacing w:before="20" w:after="20"/>
              <w:rPr>
                <w:rFonts w:cs="Arial"/>
                <w:sz w:val="20"/>
                <w:szCs w:val="20"/>
              </w:rPr>
            </w:pPr>
            <w:r w:rsidRPr="002C33F2">
              <w:rPr>
                <w:rFonts w:cstheme="minorHAnsi"/>
                <w:sz w:val="20"/>
                <w:szCs w:val="20"/>
              </w:rPr>
              <w:t>No</w:t>
            </w:r>
          </w:p>
        </w:tc>
      </w:tr>
      <w:tr w:rsidR="006E593D" w:rsidRPr="00500C4E" w14:paraId="1F8399E1" w14:textId="77777777" w:rsidTr="00EA057C">
        <w:trPr>
          <w:trHeight w:val="20"/>
        </w:trPr>
        <w:tc>
          <w:tcPr>
            <w:tcW w:w="1730" w:type="pct"/>
          </w:tcPr>
          <w:p w14:paraId="0CC701E3" w14:textId="77777777" w:rsidR="006E593D" w:rsidRPr="002C33F2" w:rsidRDefault="006E593D" w:rsidP="00031810">
            <w:pPr>
              <w:spacing w:before="20" w:after="20"/>
              <w:rPr>
                <w:rFonts w:cs="Arial"/>
                <w:sz w:val="20"/>
                <w:szCs w:val="20"/>
              </w:rPr>
            </w:pPr>
            <w:r w:rsidRPr="002C33F2">
              <w:rPr>
                <w:rFonts w:cs="Arial"/>
                <w:sz w:val="20"/>
                <w:szCs w:val="20"/>
              </w:rPr>
              <w:t>DEER Measure Case</w:t>
            </w:r>
          </w:p>
        </w:tc>
        <w:tc>
          <w:tcPr>
            <w:tcW w:w="3270" w:type="pct"/>
          </w:tcPr>
          <w:p w14:paraId="49A023A0" w14:textId="785D8385" w:rsidR="006E593D" w:rsidRPr="002C33F2" w:rsidRDefault="006E593D" w:rsidP="00031810">
            <w:pPr>
              <w:spacing w:before="20" w:after="20"/>
              <w:rPr>
                <w:rFonts w:cs="Arial"/>
                <w:sz w:val="20"/>
                <w:szCs w:val="20"/>
              </w:rPr>
            </w:pPr>
            <w:r w:rsidRPr="002C33F2">
              <w:rPr>
                <w:rFonts w:cstheme="minorHAnsi"/>
                <w:sz w:val="20"/>
                <w:szCs w:val="20"/>
              </w:rPr>
              <w:t>No</w:t>
            </w:r>
          </w:p>
        </w:tc>
      </w:tr>
      <w:tr w:rsidR="006E593D" w:rsidRPr="00500C4E" w14:paraId="663742C6" w14:textId="77777777" w:rsidTr="00EA057C">
        <w:trPr>
          <w:trHeight w:val="20"/>
        </w:trPr>
        <w:tc>
          <w:tcPr>
            <w:tcW w:w="1730" w:type="pct"/>
          </w:tcPr>
          <w:p w14:paraId="16B2FDAB" w14:textId="77777777" w:rsidR="006E593D" w:rsidRPr="002C33F2" w:rsidRDefault="006E593D" w:rsidP="00031810">
            <w:pPr>
              <w:spacing w:before="20" w:after="20"/>
              <w:rPr>
                <w:rFonts w:cs="Arial"/>
                <w:sz w:val="20"/>
                <w:szCs w:val="20"/>
              </w:rPr>
            </w:pPr>
            <w:r w:rsidRPr="002C33F2">
              <w:rPr>
                <w:rFonts w:cs="Arial"/>
                <w:sz w:val="20"/>
                <w:szCs w:val="20"/>
              </w:rPr>
              <w:t>DEER Building Types</w:t>
            </w:r>
          </w:p>
        </w:tc>
        <w:tc>
          <w:tcPr>
            <w:tcW w:w="3270" w:type="pct"/>
          </w:tcPr>
          <w:p w14:paraId="6BBA540C" w14:textId="368B860B" w:rsidR="006E593D" w:rsidRPr="002C33F2" w:rsidRDefault="006E593D" w:rsidP="00031810">
            <w:pPr>
              <w:spacing w:before="20" w:after="20"/>
              <w:rPr>
                <w:rFonts w:cs="Arial"/>
                <w:sz w:val="20"/>
                <w:szCs w:val="20"/>
              </w:rPr>
            </w:pPr>
            <w:r w:rsidRPr="002C33F2">
              <w:rPr>
                <w:rFonts w:cstheme="minorHAnsi"/>
                <w:sz w:val="20"/>
                <w:szCs w:val="20"/>
              </w:rPr>
              <w:t>No</w:t>
            </w:r>
          </w:p>
        </w:tc>
      </w:tr>
      <w:tr w:rsidR="006E593D" w:rsidRPr="00500C4E" w14:paraId="424F1325" w14:textId="77777777" w:rsidTr="00EA057C">
        <w:trPr>
          <w:trHeight w:val="20"/>
        </w:trPr>
        <w:tc>
          <w:tcPr>
            <w:tcW w:w="1730" w:type="pct"/>
          </w:tcPr>
          <w:p w14:paraId="71098DDA" w14:textId="77777777" w:rsidR="006E593D" w:rsidRPr="002C33F2" w:rsidRDefault="006E593D" w:rsidP="00031810">
            <w:pPr>
              <w:spacing w:before="20" w:after="20"/>
              <w:rPr>
                <w:rFonts w:cs="Arial"/>
                <w:sz w:val="20"/>
                <w:szCs w:val="20"/>
              </w:rPr>
            </w:pPr>
            <w:r w:rsidRPr="002C33F2">
              <w:rPr>
                <w:rFonts w:cs="Arial"/>
                <w:sz w:val="20"/>
                <w:szCs w:val="20"/>
              </w:rPr>
              <w:t>DEER Operating Hours</w:t>
            </w:r>
          </w:p>
        </w:tc>
        <w:tc>
          <w:tcPr>
            <w:tcW w:w="3270" w:type="pct"/>
          </w:tcPr>
          <w:p w14:paraId="1693E1EE" w14:textId="21A2303C" w:rsidR="006E593D" w:rsidRPr="002C33F2" w:rsidRDefault="006E593D" w:rsidP="00031810">
            <w:pPr>
              <w:spacing w:before="20" w:after="20"/>
              <w:rPr>
                <w:rFonts w:cs="Arial"/>
                <w:sz w:val="20"/>
                <w:szCs w:val="20"/>
              </w:rPr>
            </w:pPr>
            <w:r w:rsidRPr="002C33F2">
              <w:rPr>
                <w:rFonts w:cstheme="minorHAnsi"/>
                <w:sz w:val="20"/>
                <w:szCs w:val="20"/>
              </w:rPr>
              <w:t>No</w:t>
            </w:r>
          </w:p>
        </w:tc>
      </w:tr>
      <w:tr w:rsidR="006E593D" w:rsidRPr="00500C4E" w14:paraId="0B93AD47" w14:textId="77777777" w:rsidTr="00EA057C">
        <w:trPr>
          <w:trHeight w:val="20"/>
        </w:trPr>
        <w:tc>
          <w:tcPr>
            <w:tcW w:w="1730" w:type="pct"/>
          </w:tcPr>
          <w:p w14:paraId="6E9E484F" w14:textId="77777777" w:rsidR="006E593D" w:rsidRPr="002C33F2" w:rsidRDefault="006E593D" w:rsidP="00031810">
            <w:pPr>
              <w:spacing w:before="20" w:after="20"/>
              <w:rPr>
                <w:rFonts w:cs="Arial"/>
                <w:sz w:val="20"/>
                <w:szCs w:val="20"/>
              </w:rPr>
            </w:pPr>
            <w:r w:rsidRPr="002C33F2">
              <w:rPr>
                <w:rFonts w:cs="Arial"/>
                <w:sz w:val="20"/>
                <w:szCs w:val="20"/>
              </w:rPr>
              <w:t xml:space="preserve">DEER </w:t>
            </w:r>
            <w:proofErr w:type="spellStart"/>
            <w:r w:rsidRPr="002C33F2">
              <w:rPr>
                <w:rFonts w:cs="Arial"/>
                <w:sz w:val="20"/>
                <w:szCs w:val="20"/>
              </w:rPr>
              <w:t>eQUEST</w:t>
            </w:r>
            <w:proofErr w:type="spellEnd"/>
            <w:r w:rsidRPr="002C33F2">
              <w:rPr>
                <w:rFonts w:cs="Arial"/>
                <w:sz w:val="20"/>
                <w:szCs w:val="20"/>
              </w:rPr>
              <w:t xml:space="preserve"> Prototypes</w:t>
            </w:r>
          </w:p>
        </w:tc>
        <w:tc>
          <w:tcPr>
            <w:tcW w:w="3270" w:type="pct"/>
          </w:tcPr>
          <w:p w14:paraId="4948DEAF" w14:textId="66213846" w:rsidR="006E593D" w:rsidRPr="002C33F2" w:rsidDel="00505CEC" w:rsidRDefault="006E593D" w:rsidP="00031810">
            <w:pPr>
              <w:spacing w:before="20" w:after="20"/>
              <w:rPr>
                <w:rFonts w:cs="Arial"/>
                <w:sz w:val="20"/>
                <w:szCs w:val="20"/>
              </w:rPr>
            </w:pPr>
            <w:r w:rsidRPr="002C33F2">
              <w:rPr>
                <w:rFonts w:cstheme="minorHAnsi"/>
                <w:sz w:val="20"/>
                <w:szCs w:val="20"/>
              </w:rPr>
              <w:t>No</w:t>
            </w:r>
          </w:p>
        </w:tc>
      </w:tr>
      <w:tr w:rsidR="006E593D" w:rsidRPr="00500C4E" w14:paraId="2CFDE9D3" w14:textId="77777777" w:rsidTr="00EA057C">
        <w:trPr>
          <w:trHeight w:val="180"/>
        </w:trPr>
        <w:tc>
          <w:tcPr>
            <w:tcW w:w="1730" w:type="pct"/>
          </w:tcPr>
          <w:p w14:paraId="3B6B3E22" w14:textId="77777777" w:rsidR="006E593D" w:rsidRPr="002C33F2" w:rsidRDefault="006E593D" w:rsidP="00031810">
            <w:pPr>
              <w:spacing w:before="20" w:after="20"/>
              <w:rPr>
                <w:rFonts w:cs="Arial"/>
                <w:sz w:val="20"/>
                <w:szCs w:val="20"/>
              </w:rPr>
            </w:pPr>
            <w:r w:rsidRPr="002C33F2">
              <w:rPr>
                <w:rFonts w:cs="Arial"/>
                <w:sz w:val="20"/>
                <w:szCs w:val="20"/>
              </w:rPr>
              <w:t>DEER Version</w:t>
            </w:r>
          </w:p>
        </w:tc>
        <w:tc>
          <w:tcPr>
            <w:tcW w:w="3270" w:type="pct"/>
          </w:tcPr>
          <w:p w14:paraId="1C3B60D1" w14:textId="528122DF" w:rsidR="006E593D" w:rsidRPr="002C33F2" w:rsidRDefault="00A73BE1" w:rsidP="00031810">
            <w:pPr>
              <w:spacing w:before="20" w:after="20"/>
              <w:rPr>
                <w:rFonts w:cs="Arial"/>
                <w:sz w:val="20"/>
                <w:szCs w:val="20"/>
              </w:rPr>
            </w:pPr>
            <w:r w:rsidRPr="002C33F2">
              <w:rPr>
                <w:rFonts w:cstheme="minorHAnsi"/>
                <w:sz w:val="20"/>
                <w:szCs w:val="20"/>
              </w:rPr>
              <w:t>DEER 2017, READI v2.4.7</w:t>
            </w:r>
          </w:p>
        </w:tc>
      </w:tr>
      <w:tr w:rsidR="006E593D" w:rsidRPr="00500C4E" w14:paraId="3B7464D7" w14:textId="77777777" w:rsidTr="00EA057C">
        <w:trPr>
          <w:trHeight w:val="20"/>
        </w:trPr>
        <w:tc>
          <w:tcPr>
            <w:tcW w:w="1730" w:type="pct"/>
          </w:tcPr>
          <w:p w14:paraId="24000A76" w14:textId="77777777" w:rsidR="006E593D" w:rsidRPr="002C33F2" w:rsidRDefault="006E593D" w:rsidP="00031810">
            <w:pPr>
              <w:spacing w:before="20" w:after="20"/>
              <w:rPr>
                <w:rFonts w:cs="Arial"/>
                <w:sz w:val="20"/>
                <w:szCs w:val="20"/>
              </w:rPr>
            </w:pPr>
            <w:r w:rsidRPr="002C33F2">
              <w:rPr>
                <w:rFonts w:cs="Arial"/>
                <w:sz w:val="20"/>
                <w:szCs w:val="20"/>
              </w:rPr>
              <w:t>Reason for Deviation from DEER</w:t>
            </w:r>
          </w:p>
        </w:tc>
        <w:tc>
          <w:tcPr>
            <w:tcW w:w="3270" w:type="pct"/>
          </w:tcPr>
          <w:p w14:paraId="125AAB90" w14:textId="6B135744" w:rsidR="006E593D" w:rsidRPr="002C33F2" w:rsidRDefault="006E593D" w:rsidP="00031810">
            <w:pPr>
              <w:spacing w:before="20" w:after="20"/>
              <w:rPr>
                <w:rFonts w:cs="Arial"/>
                <w:sz w:val="20"/>
                <w:szCs w:val="20"/>
              </w:rPr>
            </w:pPr>
            <w:r w:rsidRPr="002C33F2">
              <w:rPr>
                <w:rFonts w:cstheme="minorHAnsi"/>
                <w:sz w:val="20"/>
                <w:szCs w:val="20"/>
              </w:rPr>
              <w:t>DEER contained similar measures which have since been removed.</w:t>
            </w:r>
          </w:p>
        </w:tc>
      </w:tr>
      <w:tr w:rsidR="00B20B50" w:rsidRPr="00500C4E" w14:paraId="4A7EE859" w14:textId="77777777" w:rsidTr="00EA057C">
        <w:trPr>
          <w:trHeight w:val="20"/>
        </w:trPr>
        <w:tc>
          <w:tcPr>
            <w:tcW w:w="1730" w:type="pct"/>
          </w:tcPr>
          <w:p w14:paraId="7B4D686A" w14:textId="77777777" w:rsidR="00B20B50" w:rsidRPr="002C33F2" w:rsidRDefault="00B20B50" w:rsidP="00031810">
            <w:pPr>
              <w:spacing w:before="20" w:after="20"/>
              <w:rPr>
                <w:rFonts w:cs="Arial"/>
                <w:sz w:val="20"/>
                <w:szCs w:val="20"/>
              </w:rPr>
            </w:pPr>
            <w:r w:rsidRPr="002C33F2">
              <w:rPr>
                <w:rFonts w:cs="Arial"/>
                <w:sz w:val="20"/>
                <w:szCs w:val="20"/>
              </w:rPr>
              <w:t>DEER Measure IDs Used</w:t>
            </w:r>
          </w:p>
        </w:tc>
        <w:tc>
          <w:tcPr>
            <w:tcW w:w="3270" w:type="pct"/>
          </w:tcPr>
          <w:p w14:paraId="63ABA251" w14:textId="7663C8A0" w:rsidR="00B20B50" w:rsidRPr="00022B88" w:rsidRDefault="00022B88" w:rsidP="00031810">
            <w:pPr>
              <w:spacing w:before="20" w:after="20"/>
              <w:rPr>
                <w:rFonts w:cs="Arial"/>
                <w:sz w:val="20"/>
                <w:szCs w:val="20"/>
              </w:rPr>
            </w:pPr>
            <w:r w:rsidRPr="00022B88">
              <w:rPr>
                <w:rFonts w:cs="Arial"/>
                <w:sz w:val="20"/>
                <w:szCs w:val="20"/>
              </w:rPr>
              <w:t>n/a</w:t>
            </w:r>
          </w:p>
        </w:tc>
      </w:tr>
      <w:tr w:rsidR="00B20B50" w:rsidRPr="00500C4E" w14:paraId="5A83EC74" w14:textId="77777777" w:rsidTr="00EA057C">
        <w:trPr>
          <w:trHeight w:val="20"/>
        </w:trPr>
        <w:tc>
          <w:tcPr>
            <w:tcW w:w="1730" w:type="pct"/>
          </w:tcPr>
          <w:p w14:paraId="2C82A9E0" w14:textId="121308D7" w:rsidR="00B20B50" w:rsidRPr="002C33F2" w:rsidRDefault="00B20B50" w:rsidP="00031810">
            <w:pPr>
              <w:spacing w:before="20" w:after="20"/>
              <w:rPr>
                <w:rFonts w:cs="Arial"/>
                <w:sz w:val="20"/>
                <w:szCs w:val="20"/>
              </w:rPr>
            </w:pPr>
            <w:r w:rsidRPr="002C33F2">
              <w:rPr>
                <w:rFonts w:cs="Arial"/>
                <w:sz w:val="20"/>
                <w:szCs w:val="20"/>
              </w:rPr>
              <w:t>NTG</w:t>
            </w:r>
          </w:p>
        </w:tc>
        <w:tc>
          <w:tcPr>
            <w:tcW w:w="3270" w:type="pct"/>
          </w:tcPr>
          <w:p w14:paraId="0D9A9598" w14:textId="1598CFBB" w:rsidR="002C33F2" w:rsidRPr="003A25A2" w:rsidRDefault="00B20B50" w:rsidP="00031810">
            <w:pPr>
              <w:spacing w:before="20" w:after="20"/>
              <w:rPr>
                <w:rFonts w:eastAsia="Times New Roman"/>
                <w:sz w:val="20"/>
                <w:szCs w:val="20"/>
              </w:rPr>
            </w:pPr>
            <w:r w:rsidRPr="003A25A2">
              <w:rPr>
                <w:rFonts w:eastAsia="Times New Roman"/>
                <w:sz w:val="20"/>
                <w:szCs w:val="20"/>
              </w:rPr>
              <w:t>Source: DEER</w:t>
            </w:r>
            <w:r w:rsidR="00EE4C05">
              <w:rPr>
                <w:rFonts w:eastAsia="Times New Roman"/>
                <w:sz w:val="20"/>
                <w:szCs w:val="20"/>
              </w:rPr>
              <w:t xml:space="preserve"> 2014, 2016</w:t>
            </w:r>
            <w:r w:rsidRPr="003A25A2">
              <w:rPr>
                <w:rFonts w:eastAsia="Times New Roman"/>
                <w:sz w:val="20"/>
                <w:szCs w:val="20"/>
              </w:rPr>
              <w:t xml:space="preserve"> and 2013 CPUC disposition. </w:t>
            </w:r>
          </w:p>
          <w:p w14:paraId="2BBBB10C" w14:textId="10420348" w:rsidR="00B20B50" w:rsidRPr="00170C55" w:rsidRDefault="00276049" w:rsidP="00031810">
            <w:pPr>
              <w:spacing w:before="20" w:after="20"/>
              <w:rPr>
                <w:rFonts w:cs="Arial"/>
                <w:sz w:val="20"/>
                <w:szCs w:val="20"/>
              </w:rPr>
            </w:pPr>
            <w:r w:rsidRPr="003A25A2">
              <w:rPr>
                <w:sz w:val="20"/>
                <w:szCs w:val="20"/>
              </w:rPr>
              <w:t xml:space="preserve">The NTG value of </w:t>
            </w:r>
            <w:r w:rsidR="003A25A2" w:rsidRPr="003A25A2">
              <w:rPr>
                <w:sz w:val="20"/>
                <w:szCs w:val="20"/>
              </w:rPr>
              <w:t xml:space="preserve">0.59 </w:t>
            </w:r>
            <w:r w:rsidRPr="003A25A2">
              <w:rPr>
                <w:sz w:val="20"/>
                <w:szCs w:val="20"/>
              </w:rPr>
              <w:t xml:space="preserve">is </w:t>
            </w:r>
            <w:r w:rsidR="00F224CE">
              <w:rPr>
                <w:sz w:val="20"/>
                <w:szCs w:val="20"/>
              </w:rPr>
              <w:t xml:space="preserve">associated with </w:t>
            </w:r>
            <w:r w:rsidRPr="003A25A2">
              <w:rPr>
                <w:sz w:val="20"/>
                <w:szCs w:val="20"/>
              </w:rPr>
              <w:t xml:space="preserve">NTG ID: </w:t>
            </w:r>
            <w:r w:rsidRPr="003A25A2">
              <w:rPr>
                <w:i/>
                <w:sz w:val="20"/>
                <w:szCs w:val="20"/>
              </w:rPr>
              <w:t>Res-</w:t>
            </w:r>
            <w:proofErr w:type="spellStart"/>
            <w:r w:rsidRPr="003A25A2">
              <w:rPr>
                <w:i/>
                <w:sz w:val="20"/>
                <w:szCs w:val="20"/>
              </w:rPr>
              <w:t>mDHWaerator</w:t>
            </w:r>
            <w:proofErr w:type="spellEnd"/>
            <w:r w:rsidR="00170C55">
              <w:rPr>
                <w:i/>
                <w:sz w:val="20"/>
                <w:szCs w:val="20"/>
              </w:rPr>
              <w:t xml:space="preserve">, </w:t>
            </w:r>
            <w:r w:rsidR="00170C55">
              <w:rPr>
                <w:sz w:val="20"/>
                <w:szCs w:val="20"/>
              </w:rPr>
              <w:t xml:space="preserve">the value of 0.55 is associated with NTG ID: </w:t>
            </w:r>
            <w:r w:rsidR="00170C55">
              <w:rPr>
                <w:i/>
                <w:color w:val="000000"/>
                <w:sz w:val="20"/>
                <w:szCs w:val="20"/>
              </w:rPr>
              <w:t>Res-Default&gt;</w:t>
            </w:r>
            <w:r w:rsidR="00170C55" w:rsidRPr="0065786A">
              <w:rPr>
                <w:i/>
                <w:color w:val="000000"/>
                <w:sz w:val="20"/>
                <w:szCs w:val="20"/>
              </w:rPr>
              <w:t>2</w:t>
            </w:r>
          </w:p>
        </w:tc>
      </w:tr>
      <w:tr w:rsidR="00B20B50" w:rsidRPr="00500C4E" w14:paraId="131D1F9D" w14:textId="77777777" w:rsidTr="00EA057C">
        <w:trPr>
          <w:trHeight w:val="20"/>
        </w:trPr>
        <w:tc>
          <w:tcPr>
            <w:tcW w:w="1730" w:type="pct"/>
          </w:tcPr>
          <w:p w14:paraId="45FFA983" w14:textId="5F527A83" w:rsidR="00B20B50" w:rsidRPr="002C33F2" w:rsidRDefault="00B20B50" w:rsidP="00031810">
            <w:pPr>
              <w:spacing w:before="20" w:after="20"/>
              <w:rPr>
                <w:rFonts w:cs="Arial"/>
                <w:sz w:val="20"/>
                <w:szCs w:val="20"/>
              </w:rPr>
            </w:pPr>
            <w:r w:rsidRPr="002C33F2">
              <w:rPr>
                <w:rFonts w:cs="Arial"/>
                <w:sz w:val="20"/>
                <w:szCs w:val="20"/>
              </w:rPr>
              <w:t>GSIA</w:t>
            </w:r>
          </w:p>
        </w:tc>
        <w:tc>
          <w:tcPr>
            <w:tcW w:w="3270" w:type="pct"/>
          </w:tcPr>
          <w:p w14:paraId="7C16D603" w14:textId="193CB43B" w:rsidR="00B20B50" w:rsidRPr="00276049" w:rsidRDefault="00B20B50" w:rsidP="00031810">
            <w:pPr>
              <w:spacing w:before="20" w:after="20"/>
              <w:rPr>
                <w:rFonts w:cs="Arial"/>
                <w:sz w:val="20"/>
                <w:szCs w:val="20"/>
              </w:rPr>
            </w:pPr>
            <w:r w:rsidRPr="00276049">
              <w:rPr>
                <w:rFonts w:cs="Arial"/>
                <w:sz w:val="20"/>
                <w:szCs w:val="20"/>
              </w:rPr>
              <w:t>Source: DEER</w:t>
            </w:r>
            <w:r w:rsidR="00EE4C05">
              <w:rPr>
                <w:rFonts w:cs="Arial"/>
                <w:sz w:val="20"/>
                <w:szCs w:val="20"/>
              </w:rPr>
              <w:t xml:space="preserve"> 2011</w:t>
            </w:r>
            <w:r w:rsidRPr="00276049">
              <w:rPr>
                <w:rFonts w:cs="Arial"/>
                <w:sz w:val="20"/>
                <w:szCs w:val="20"/>
              </w:rPr>
              <w:t xml:space="preserve">. The </w:t>
            </w:r>
            <w:r w:rsidR="00276049" w:rsidRPr="00276049">
              <w:rPr>
                <w:rFonts w:cs="Arial"/>
                <w:sz w:val="20"/>
                <w:szCs w:val="20"/>
              </w:rPr>
              <w:t xml:space="preserve">GSIA </w:t>
            </w:r>
            <w:r w:rsidRPr="00276049">
              <w:rPr>
                <w:rFonts w:cs="Arial"/>
                <w:sz w:val="20"/>
                <w:szCs w:val="20"/>
              </w:rPr>
              <w:t>value of 0.</w:t>
            </w:r>
            <w:r w:rsidR="00C9078E" w:rsidRPr="00276049">
              <w:rPr>
                <w:rFonts w:cs="Arial"/>
                <w:sz w:val="20"/>
                <w:szCs w:val="20"/>
              </w:rPr>
              <w:t>665 is associated with</w:t>
            </w:r>
            <w:r w:rsidRPr="00276049">
              <w:rPr>
                <w:rFonts w:cs="Arial"/>
                <w:sz w:val="20"/>
                <w:szCs w:val="20"/>
              </w:rPr>
              <w:t xml:space="preserve"> ID: </w:t>
            </w:r>
            <w:r w:rsidR="00C9078E" w:rsidRPr="00276049">
              <w:rPr>
                <w:rFonts w:cs="Arial"/>
                <w:i/>
                <w:iCs/>
                <w:sz w:val="20"/>
                <w:szCs w:val="20"/>
              </w:rPr>
              <w:t>Res-</w:t>
            </w:r>
            <w:proofErr w:type="spellStart"/>
            <w:r w:rsidR="00276049" w:rsidRPr="00276049">
              <w:rPr>
                <w:rFonts w:cs="Arial"/>
                <w:i/>
                <w:iCs/>
                <w:sz w:val="20"/>
                <w:szCs w:val="20"/>
              </w:rPr>
              <w:t>LowF</w:t>
            </w:r>
            <w:proofErr w:type="spellEnd"/>
            <w:r w:rsidR="00276049" w:rsidRPr="00276049">
              <w:rPr>
                <w:rFonts w:cs="Arial"/>
                <w:i/>
                <w:iCs/>
                <w:sz w:val="20"/>
                <w:szCs w:val="20"/>
              </w:rPr>
              <w:t>-FA-All</w:t>
            </w:r>
          </w:p>
        </w:tc>
      </w:tr>
      <w:tr w:rsidR="00B20B50" w:rsidRPr="00500C4E" w14:paraId="4D0F7E1B" w14:textId="77777777" w:rsidTr="00EA057C">
        <w:trPr>
          <w:trHeight w:val="20"/>
        </w:trPr>
        <w:tc>
          <w:tcPr>
            <w:tcW w:w="1730" w:type="pct"/>
          </w:tcPr>
          <w:p w14:paraId="103BA947" w14:textId="6665B2EA" w:rsidR="00B20B50" w:rsidRPr="002C33F2" w:rsidRDefault="00B20B50" w:rsidP="00031810">
            <w:pPr>
              <w:spacing w:before="20" w:after="20"/>
              <w:rPr>
                <w:rFonts w:cs="Arial"/>
                <w:sz w:val="20"/>
                <w:szCs w:val="20"/>
              </w:rPr>
            </w:pPr>
            <w:r w:rsidRPr="002C33F2">
              <w:rPr>
                <w:rFonts w:cs="Arial"/>
                <w:sz w:val="20"/>
                <w:szCs w:val="20"/>
              </w:rPr>
              <w:t>EUL/RUL</w:t>
            </w:r>
          </w:p>
        </w:tc>
        <w:tc>
          <w:tcPr>
            <w:tcW w:w="3270" w:type="pct"/>
          </w:tcPr>
          <w:p w14:paraId="5BD9C961" w14:textId="2271E070" w:rsidR="00B20B50" w:rsidRPr="00140D18" w:rsidRDefault="00B20B50" w:rsidP="00031810">
            <w:pPr>
              <w:spacing w:before="20" w:after="20"/>
              <w:rPr>
                <w:rFonts w:cs="Arial"/>
                <w:sz w:val="20"/>
                <w:szCs w:val="20"/>
              </w:rPr>
            </w:pPr>
            <w:r w:rsidRPr="00140D18">
              <w:rPr>
                <w:rFonts w:eastAsia="Times New Roman"/>
                <w:sz w:val="20"/>
                <w:szCs w:val="20"/>
              </w:rPr>
              <w:t xml:space="preserve">Source: </w:t>
            </w:r>
            <w:r w:rsidR="00140D18" w:rsidRPr="00140D18">
              <w:rPr>
                <w:rFonts w:eastAsia="Times New Roman"/>
                <w:sz w:val="20"/>
                <w:szCs w:val="20"/>
              </w:rPr>
              <w:t>DEER</w:t>
            </w:r>
            <w:r w:rsidR="00EE4C05">
              <w:rPr>
                <w:rFonts w:eastAsia="Times New Roman"/>
                <w:sz w:val="20"/>
                <w:szCs w:val="20"/>
              </w:rPr>
              <w:t xml:space="preserve"> 2014</w:t>
            </w:r>
            <w:r w:rsidR="00276049" w:rsidRPr="00140D18">
              <w:rPr>
                <w:rFonts w:eastAsia="Times New Roman"/>
                <w:sz w:val="20"/>
                <w:szCs w:val="20"/>
              </w:rPr>
              <w:t xml:space="preserve">. The EUL ID for the aerator measure is </w:t>
            </w:r>
            <w:proofErr w:type="spellStart"/>
            <w:r w:rsidR="00276049" w:rsidRPr="00140D18">
              <w:rPr>
                <w:rFonts w:eastAsia="Times New Roman"/>
                <w:i/>
                <w:sz w:val="20"/>
                <w:szCs w:val="20"/>
              </w:rPr>
              <w:t>WtrHt</w:t>
            </w:r>
            <w:proofErr w:type="spellEnd"/>
            <w:r w:rsidR="00276049" w:rsidRPr="00140D18">
              <w:rPr>
                <w:rFonts w:eastAsia="Times New Roman"/>
                <w:i/>
                <w:sz w:val="20"/>
                <w:szCs w:val="20"/>
              </w:rPr>
              <w:t>-WH-</w:t>
            </w:r>
            <w:proofErr w:type="spellStart"/>
            <w:r w:rsidR="00276049" w:rsidRPr="00140D18">
              <w:rPr>
                <w:rFonts w:eastAsia="Times New Roman"/>
                <w:i/>
                <w:sz w:val="20"/>
                <w:szCs w:val="20"/>
              </w:rPr>
              <w:t>Aertr</w:t>
            </w:r>
            <w:proofErr w:type="spellEnd"/>
            <w:r w:rsidR="00276049" w:rsidRPr="00140D18">
              <w:rPr>
                <w:rFonts w:eastAsia="Times New Roman"/>
                <w:i/>
                <w:sz w:val="20"/>
                <w:szCs w:val="20"/>
              </w:rPr>
              <w:t xml:space="preserve">. </w:t>
            </w:r>
          </w:p>
        </w:tc>
      </w:tr>
    </w:tbl>
    <w:p w14:paraId="4B43E23A" w14:textId="63592963" w:rsidR="009C31A4" w:rsidRPr="004B06E3" w:rsidRDefault="009C31A4" w:rsidP="004142EF"/>
    <w:p w14:paraId="7F139A58" w14:textId="77777777" w:rsidR="00876683" w:rsidRDefault="00876683" w:rsidP="0021124C">
      <w:pPr>
        <w:pStyle w:val="eTRMHeading3"/>
      </w:pPr>
      <w:bookmarkStart w:id="117" w:name="_Toc486490866"/>
      <w:bookmarkStart w:id="118" w:name="_Toc486580937"/>
      <w:bookmarkStart w:id="119" w:name="_Toc515951877"/>
      <w:bookmarkStart w:id="120" w:name="_Toc12567178"/>
      <w:bookmarkStart w:id="121" w:name="_Hlk511817708"/>
      <w:bookmarkStart w:id="122" w:name="_Hlk511917889"/>
      <w:r w:rsidRPr="004B06E3">
        <w:t>Revision History</w:t>
      </w:r>
      <w:bookmarkEnd w:id="117"/>
      <w:bookmarkEnd w:id="118"/>
      <w:bookmarkEnd w:id="119"/>
      <w:bookmarkEnd w:id="120"/>
    </w:p>
    <w:p w14:paraId="30591F20" w14:textId="4FF3FAA0" w:rsidR="001A082D" w:rsidRDefault="001A082D" w:rsidP="0021124C">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664"/>
        <w:gridCol w:w="1891"/>
        <w:gridCol w:w="4855"/>
      </w:tblGrid>
      <w:tr w:rsidR="001A082D" w:rsidRPr="00500C4E" w14:paraId="6CEBA7EA" w14:textId="77777777" w:rsidTr="003978EB">
        <w:trPr>
          <w:trHeight w:val="20"/>
          <w:tblHeader/>
        </w:trPr>
        <w:tc>
          <w:tcPr>
            <w:tcW w:w="503" w:type="pct"/>
            <w:shd w:val="clear" w:color="auto" w:fill="F2F2F2" w:themeFill="background1" w:themeFillShade="F2"/>
            <w:vAlign w:val="bottom"/>
          </w:tcPr>
          <w:p w14:paraId="660BDFC5" w14:textId="77777777" w:rsidR="001A082D" w:rsidRPr="00EA057C" w:rsidRDefault="001A082D" w:rsidP="0021124C">
            <w:pPr>
              <w:keepNext/>
              <w:keepLines/>
              <w:tabs>
                <w:tab w:val="right" w:pos="2957"/>
              </w:tabs>
              <w:spacing w:before="20" w:after="20"/>
              <w:rPr>
                <w:rFonts w:cs="Arial"/>
                <w:b/>
                <w:sz w:val="20"/>
                <w:szCs w:val="20"/>
              </w:rPr>
            </w:pPr>
            <w:r>
              <w:rPr>
                <w:rFonts w:cs="Arial"/>
                <w:b/>
                <w:sz w:val="20"/>
                <w:szCs w:val="20"/>
              </w:rPr>
              <w:t>Revision Number</w:t>
            </w:r>
          </w:p>
        </w:tc>
        <w:tc>
          <w:tcPr>
            <w:tcW w:w="890" w:type="pct"/>
            <w:shd w:val="clear" w:color="auto" w:fill="F2F2F2" w:themeFill="background1" w:themeFillShade="F2"/>
            <w:vAlign w:val="bottom"/>
          </w:tcPr>
          <w:p w14:paraId="70947DE7" w14:textId="79607C35" w:rsidR="001A082D" w:rsidRPr="00EA057C" w:rsidRDefault="003978EB" w:rsidP="0021124C">
            <w:pPr>
              <w:keepNext/>
              <w:keepLines/>
              <w:spacing w:before="20" w:after="20"/>
              <w:rPr>
                <w:rFonts w:cs="Arial"/>
                <w:b/>
                <w:sz w:val="20"/>
                <w:szCs w:val="20"/>
              </w:rPr>
            </w:pPr>
            <w:r>
              <w:rPr>
                <w:rFonts w:cs="Arial"/>
                <w:b/>
                <w:sz w:val="20"/>
                <w:szCs w:val="20"/>
              </w:rPr>
              <w:t xml:space="preserve">Revision Complete </w:t>
            </w:r>
            <w:r w:rsidR="001A082D">
              <w:rPr>
                <w:rFonts w:cs="Arial"/>
                <w:b/>
                <w:sz w:val="20"/>
                <w:szCs w:val="20"/>
              </w:rPr>
              <w:t>Date</w:t>
            </w:r>
          </w:p>
        </w:tc>
        <w:tc>
          <w:tcPr>
            <w:tcW w:w="1011" w:type="pct"/>
            <w:shd w:val="clear" w:color="auto" w:fill="F2F2F2" w:themeFill="background1" w:themeFillShade="F2"/>
            <w:vAlign w:val="bottom"/>
          </w:tcPr>
          <w:p w14:paraId="0BAEF1FE" w14:textId="77777777" w:rsidR="001A082D" w:rsidRDefault="001A082D" w:rsidP="0021124C">
            <w:pPr>
              <w:keepNext/>
              <w:keepLines/>
              <w:spacing w:before="20" w:after="20"/>
              <w:rPr>
                <w:rFonts w:cs="Arial"/>
                <w:b/>
                <w:sz w:val="20"/>
                <w:szCs w:val="20"/>
              </w:rPr>
            </w:pPr>
            <w:r>
              <w:rPr>
                <w:rFonts w:cs="Arial"/>
                <w:b/>
                <w:sz w:val="20"/>
                <w:szCs w:val="20"/>
              </w:rPr>
              <w:t>Primary Author, Title, Organization</w:t>
            </w:r>
          </w:p>
        </w:tc>
        <w:tc>
          <w:tcPr>
            <w:tcW w:w="2596" w:type="pct"/>
            <w:shd w:val="clear" w:color="auto" w:fill="F2F2F2" w:themeFill="background1" w:themeFillShade="F2"/>
            <w:vAlign w:val="bottom"/>
          </w:tcPr>
          <w:p w14:paraId="5186667A" w14:textId="77777777" w:rsidR="001A082D" w:rsidRDefault="001A082D" w:rsidP="0021124C">
            <w:pPr>
              <w:keepNext/>
              <w:keepLines/>
              <w:spacing w:before="20" w:after="20"/>
              <w:rPr>
                <w:rFonts w:cs="Arial"/>
                <w:b/>
                <w:sz w:val="20"/>
                <w:szCs w:val="20"/>
              </w:rPr>
            </w:pPr>
            <w:r>
              <w:rPr>
                <w:rFonts w:cs="Arial"/>
                <w:b/>
                <w:sz w:val="20"/>
                <w:szCs w:val="20"/>
              </w:rPr>
              <w:t>Revision Summary and Rationale for Revision</w:t>
            </w:r>
          </w:p>
          <w:p w14:paraId="2C1641EB" w14:textId="77777777" w:rsidR="001A082D" w:rsidRDefault="001A082D" w:rsidP="0021124C">
            <w:pPr>
              <w:keepNext/>
              <w:keepLines/>
              <w:spacing w:before="20" w:after="20"/>
              <w:rPr>
                <w:rFonts w:cs="Arial"/>
                <w:b/>
                <w:sz w:val="20"/>
                <w:szCs w:val="20"/>
              </w:rPr>
            </w:pPr>
            <w:r>
              <w:rPr>
                <w:rFonts w:cs="Arial"/>
                <w:b/>
                <w:sz w:val="20"/>
                <w:szCs w:val="20"/>
              </w:rPr>
              <w:t>Effective Date and Approved By</w:t>
            </w:r>
          </w:p>
        </w:tc>
      </w:tr>
      <w:tr w:rsidR="000D6227" w:rsidRPr="00CA1CB3" w14:paraId="0DCF2ED1" w14:textId="77777777" w:rsidTr="003978EB">
        <w:trPr>
          <w:trHeight w:val="20"/>
        </w:trPr>
        <w:tc>
          <w:tcPr>
            <w:tcW w:w="503" w:type="pct"/>
            <w:vMerge w:val="restart"/>
          </w:tcPr>
          <w:p w14:paraId="2795AA27" w14:textId="77777777" w:rsidR="000D6227" w:rsidRPr="00CA1CB3" w:rsidRDefault="000D6227" w:rsidP="00031810">
            <w:pPr>
              <w:spacing w:before="20" w:after="20"/>
              <w:rPr>
                <w:rFonts w:cs="Arial"/>
                <w:sz w:val="20"/>
                <w:szCs w:val="20"/>
              </w:rPr>
            </w:pPr>
            <w:r w:rsidRPr="00CA1CB3">
              <w:rPr>
                <w:rFonts w:cs="Arial"/>
                <w:sz w:val="20"/>
                <w:szCs w:val="20"/>
              </w:rPr>
              <w:t>0</w:t>
            </w:r>
            <w:r>
              <w:rPr>
                <w:rFonts w:cs="Arial"/>
                <w:sz w:val="20"/>
                <w:szCs w:val="20"/>
              </w:rPr>
              <w:t>1</w:t>
            </w:r>
          </w:p>
        </w:tc>
        <w:tc>
          <w:tcPr>
            <w:tcW w:w="890" w:type="pct"/>
          </w:tcPr>
          <w:p w14:paraId="33AD749C" w14:textId="77777777" w:rsidR="000D6227" w:rsidRPr="00893543" w:rsidRDefault="000D6227" w:rsidP="00416F66">
            <w:pPr>
              <w:spacing w:before="20" w:after="20"/>
              <w:rPr>
                <w:rFonts w:cs="Arial"/>
                <w:sz w:val="20"/>
                <w:szCs w:val="20"/>
              </w:rPr>
            </w:pPr>
            <w:r w:rsidRPr="00893543">
              <w:rPr>
                <w:rFonts w:cs="Arial"/>
                <w:sz w:val="20"/>
                <w:szCs w:val="20"/>
              </w:rPr>
              <w:t>03/31/2018</w:t>
            </w:r>
          </w:p>
        </w:tc>
        <w:tc>
          <w:tcPr>
            <w:tcW w:w="1011" w:type="pct"/>
          </w:tcPr>
          <w:p w14:paraId="205F415E" w14:textId="77777777" w:rsidR="000D6227" w:rsidRDefault="000D6227" w:rsidP="00031810">
            <w:pPr>
              <w:spacing w:before="20" w:after="20"/>
              <w:rPr>
                <w:rFonts w:cs="Arial"/>
                <w:sz w:val="20"/>
                <w:szCs w:val="20"/>
              </w:rPr>
            </w:pPr>
            <w:r>
              <w:rPr>
                <w:rFonts w:cs="Arial"/>
                <w:sz w:val="20"/>
                <w:szCs w:val="20"/>
              </w:rPr>
              <w:t>Jennifer Holmes</w:t>
            </w:r>
          </w:p>
          <w:p w14:paraId="015B6B93" w14:textId="77777777" w:rsidR="000D6227" w:rsidRPr="00CA1CB3" w:rsidRDefault="000D6227" w:rsidP="00031810">
            <w:pPr>
              <w:spacing w:before="20" w:after="20"/>
              <w:rPr>
                <w:rFonts w:cs="Arial"/>
                <w:sz w:val="20"/>
                <w:szCs w:val="20"/>
              </w:rPr>
            </w:pPr>
            <w:r>
              <w:rPr>
                <w:rFonts w:cs="Arial"/>
                <w:sz w:val="20"/>
                <w:szCs w:val="20"/>
              </w:rPr>
              <w:t>Cal TF Staff</w:t>
            </w:r>
          </w:p>
        </w:tc>
        <w:tc>
          <w:tcPr>
            <w:tcW w:w="2596" w:type="pct"/>
          </w:tcPr>
          <w:p w14:paraId="2B3A9143" w14:textId="77777777" w:rsidR="000D6227" w:rsidRPr="00893543" w:rsidRDefault="000D6227" w:rsidP="00031810">
            <w:pPr>
              <w:spacing w:before="20" w:after="20"/>
              <w:rPr>
                <w:rFonts w:cs="Arial"/>
                <w:sz w:val="20"/>
                <w:szCs w:val="20"/>
              </w:rPr>
            </w:pPr>
            <w:r w:rsidRPr="00893543">
              <w:rPr>
                <w:rFonts w:cs="Arial"/>
                <w:sz w:val="20"/>
                <w:szCs w:val="20"/>
              </w:rPr>
              <w:t>Draft of consolidated text for this statewide measure is based upon:</w:t>
            </w:r>
          </w:p>
          <w:p w14:paraId="00E38D4A" w14:textId="409F016C" w:rsidR="000D6227" w:rsidRDefault="000D6227" w:rsidP="00031810">
            <w:pPr>
              <w:pStyle w:val="eTRMBulletedText"/>
              <w:numPr>
                <w:ilvl w:val="0"/>
                <w:numId w:val="0"/>
              </w:numPr>
              <w:rPr>
                <w:sz w:val="20"/>
                <w:szCs w:val="20"/>
              </w:rPr>
            </w:pPr>
            <w:r>
              <w:rPr>
                <w:sz w:val="20"/>
                <w:szCs w:val="20"/>
              </w:rPr>
              <w:t>Workpaper WPSCGREWH120618 Revision 3 (December 31, 2015)</w:t>
            </w:r>
          </w:p>
          <w:p w14:paraId="5996EB56" w14:textId="215BAE99" w:rsidR="000D6227" w:rsidRPr="00180964" w:rsidRDefault="000D6227" w:rsidP="00031810">
            <w:pPr>
              <w:pStyle w:val="eTRMBulletedText"/>
              <w:numPr>
                <w:ilvl w:val="0"/>
                <w:numId w:val="0"/>
              </w:numPr>
              <w:rPr>
                <w:sz w:val="20"/>
                <w:szCs w:val="20"/>
              </w:rPr>
            </w:pPr>
            <w:r w:rsidRPr="00893543">
              <w:rPr>
                <w:sz w:val="20"/>
                <w:szCs w:val="20"/>
              </w:rPr>
              <w:t>Consensus reached among Cal TF members.</w:t>
            </w:r>
          </w:p>
        </w:tc>
      </w:tr>
      <w:tr w:rsidR="000D6227" w:rsidRPr="002C1A40" w14:paraId="6BE78D80" w14:textId="77777777" w:rsidTr="003978EB">
        <w:trPr>
          <w:trHeight w:val="20"/>
        </w:trPr>
        <w:tc>
          <w:tcPr>
            <w:tcW w:w="503" w:type="pct"/>
            <w:vMerge/>
          </w:tcPr>
          <w:p w14:paraId="35905F6C" w14:textId="77777777" w:rsidR="000D6227" w:rsidRPr="00CA1CB3" w:rsidRDefault="000D6227" w:rsidP="00333DCC">
            <w:pPr>
              <w:spacing w:before="20" w:after="20"/>
              <w:rPr>
                <w:rFonts w:cs="Arial"/>
                <w:sz w:val="20"/>
                <w:szCs w:val="20"/>
              </w:rPr>
            </w:pPr>
          </w:p>
        </w:tc>
        <w:tc>
          <w:tcPr>
            <w:tcW w:w="890" w:type="pct"/>
          </w:tcPr>
          <w:p w14:paraId="7EA97F55" w14:textId="0A20F56E" w:rsidR="000D6227" w:rsidRPr="002C1A40" w:rsidRDefault="000D6227" w:rsidP="00416F66">
            <w:pPr>
              <w:spacing w:before="20" w:after="20"/>
              <w:rPr>
                <w:rFonts w:cs="Arial"/>
                <w:sz w:val="20"/>
                <w:szCs w:val="20"/>
              </w:rPr>
            </w:pPr>
            <w:r w:rsidRPr="002C1A40">
              <w:rPr>
                <w:rFonts w:cs="Arial"/>
                <w:sz w:val="20"/>
                <w:szCs w:val="20"/>
              </w:rPr>
              <w:t>1/30/2019</w:t>
            </w:r>
          </w:p>
        </w:tc>
        <w:tc>
          <w:tcPr>
            <w:tcW w:w="1011" w:type="pct"/>
          </w:tcPr>
          <w:p w14:paraId="37974E92" w14:textId="77777777" w:rsidR="000D6227" w:rsidRPr="002C1A40" w:rsidRDefault="000D6227" w:rsidP="00333DCC">
            <w:pPr>
              <w:spacing w:before="20" w:after="20"/>
              <w:rPr>
                <w:rFonts w:cs="Arial"/>
                <w:sz w:val="20"/>
                <w:szCs w:val="20"/>
              </w:rPr>
            </w:pPr>
            <w:r w:rsidRPr="002C1A40">
              <w:rPr>
                <w:rFonts w:cs="Arial"/>
                <w:sz w:val="20"/>
                <w:szCs w:val="20"/>
              </w:rPr>
              <w:t>Jennifer Holmes</w:t>
            </w:r>
          </w:p>
          <w:p w14:paraId="4786DC8F" w14:textId="42AE1081" w:rsidR="000D6227" w:rsidRPr="002C1A40" w:rsidRDefault="000D6227" w:rsidP="00333DCC">
            <w:pPr>
              <w:spacing w:before="20" w:after="20"/>
              <w:rPr>
                <w:rFonts w:cs="Arial"/>
                <w:sz w:val="20"/>
                <w:szCs w:val="20"/>
              </w:rPr>
            </w:pPr>
            <w:r w:rsidRPr="002C1A40">
              <w:rPr>
                <w:rFonts w:cs="Arial"/>
                <w:sz w:val="20"/>
                <w:szCs w:val="20"/>
              </w:rPr>
              <w:t>Cal TF Staff</w:t>
            </w:r>
          </w:p>
        </w:tc>
        <w:tc>
          <w:tcPr>
            <w:tcW w:w="2596" w:type="pct"/>
          </w:tcPr>
          <w:p w14:paraId="1A77D226" w14:textId="2A96AFB8" w:rsidR="000D6227" w:rsidRPr="002C1A40" w:rsidRDefault="000D6227" w:rsidP="00333DCC">
            <w:pPr>
              <w:spacing w:before="20" w:after="20"/>
              <w:rPr>
                <w:rFonts w:cs="Arial"/>
                <w:sz w:val="20"/>
                <w:szCs w:val="20"/>
              </w:rPr>
            </w:pPr>
            <w:r w:rsidRPr="002C1A40">
              <w:rPr>
                <w:rFonts w:cs="Arial"/>
                <w:sz w:val="20"/>
                <w:szCs w:val="20"/>
              </w:rPr>
              <w:t>Incorporated AR from:</w:t>
            </w:r>
          </w:p>
          <w:p w14:paraId="225AEF48" w14:textId="77777777" w:rsidR="000D6227" w:rsidRPr="002C1A40" w:rsidRDefault="000D6227" w:rsidP="00333DCC">
            <w:pPr>
              <w:spacing w:before="20" w:after="20"/>
              <w:rPr>
                <w:rFonts w:cs="Arial"/>
                <w:sz w:val="20"/>
                <w:szCs w:val="20"/>
              </w:rPr>
            </w:pPr>
            <w:r w:rsidRPr="002C1A40">
              <w:rPr>
                <w:rFonts w:cs="Arial"/>
                <w:sz w:val="20"/>
                <w:szCs w:val="20"/>
              </w:rPr>
              <w:t>PGECODHW125, Revision 7 (December 26, 2018)</w:t>
            </w:r>
          </w:p>
          <w:p w14:paraId="1BC83D62" w14:textId="159A5608" w:rsidR="000D6227" w:rsidRPr="002C1A40" w:rsidRDefault="000D6227" w:rsidP="00333DCC">
            <w:pPr>
              <w:spacing w:before="20" w:after="20"/>
              <w:rPr>
                <w:rFonts w:cs="Arial"/>
                <w:sz w:val="20"/>
                <w:szCs w:val="20"/>
              </w:rPr>
            </w:pPr>
            <w:r w:rsidRPr="002C1A40">
              <w:rPr>
                <w:rFonts w:cs="Arial"/>
                <w:sz w:val="20"/>
                <w:szCs w:val="20"/>
              </w:rPr>
              <w:t>Revisions for submittal of version 01</w:t>
            </w:r>
          </w:p>
        </w:tc>
      </w:tr>
      <w:tr w:rsidR="000D6227" w:rsidRPr="00CA1CB3" w14:paraId="24E5C289" w14:textId="77777777" w:rsidTr="003978EB">
        <w:trPr>
          <w:trHeight w:val="20"/>
        </w:trPr>
        <w:tc>
          <w:tcPr>
            <w:tcW w:w="503" w:type="pct"/>
            <w:vMerge w:val="restart"/>
          </w:tcPr>
          <w:p w14:paraId="20988F9D" w14:textId="2D8E236B" w:rsidR="000D6227" w:rsidRPr="002C1A40" w:rsidRDefault="000D6227" w:rsidP="00333DCC">
            <w:pPr>
              <w:spacing w:before="20" w:after="20"/>
              <w:rPr>
                <w:rFonts w:cs="Arial"/>
                <w:sz w:val="20"/>
                <w:szCs w:val="20"/>
              </w:rPr>
            </w:pPr>
            <w:r>
              <w:rPr>
                <w:rFonts w:cs="Arial"/>
                <w:sz w:val="20"/>
                <w:szCs w:val="20"/>
              </w:rPr>
              <w:t>02</w:t>
            </w:r>
          </w:p>
        </w:tc>
        <w:tc>
          <w:tcPr>
            <w:tcW w:w="890" w:type="pct"/>
          </w:tcPr>
          <w:p w14:paraId="17CA37A1" w14:textId="41AE77E5" w:rsidR="000D6227" w:rsidRPr="002C1A40" w:rsidRDefault="000D6227" w:rsidP="00416F66">
            <w:pPr>
              <w:spacing w:before="20" w:after="20"/>
              <w:rPr>
                <w:rFonts w:cs="Arial"/>
                <w:sz w:val="20"/>
                <w:szCs w:val="20"/>
              </w:rPr>
            </w:pPr>
            <w:r w:rsidRPr="002C1A40">
              <w:rPr>
                <w:rFonts w:cs="Arial"/>
                <w:sz w:val="20"/>
                <w:szCs w:val="20"/>
              </w:rPr>
              <w:t>6/12/201</w:t>
            </w:r>
            <w:r>
              <w:rPr>
                <w:rFonts w:cs="Arial"/>
                <w:sz w:val="20"/>
                <w:szCs w:val="20"/>
              </w:rPr>
              <w:t>9</w:t>
            </w:r>
          </w:p>
        </w:tc>
        <w:tc>
          <w:tcPr>
            <w:tcW w:w="1011" w:type="pct"/>
          </w:tcPr>
          <w:p w14:paraId="1CB7077D" w14:textId="77777777" w:rsidR="000D6227" w:rsidRPr="002C1A40" w:rsidRDefault="000D6227" w:rsidP="00333DCC">
            <w:pPr>
              <w:spacing w:before="20" w:after="20"/>
              <w:rPr>
                <w:rFonts w:cs="Arial"/>
                <w:sz w:val="20"/>
                <w:szCs w:val="20"/>
              </w:rPr>
            </w:pPr>
            <w:r w:rsidRPr="002C1A40">
              <w:rPr>
                <w:rFonts w:cs="Arial"/>
                <w:sz w:val="20"/>
                <w:szCs w:val="20"/>
              </w:rPr>
              <w:t>Chan Paek</w:t>
            </w:r>
          </w:p>
          <w:p w14:paraId="43C4DACE" w14:textId="3DD9D08D" w:rsidR="000D6227" w:rsidRPr="002C1A40" w:rsidRDefault="000D6227" w:rsidP="00333DCC">
            <w:pPr>
              <w:spacing w:before="20" w:after="20"/>
              <w:rPr>
                <w:rFonts w:cs="Arial"/>
                <w:sz w:val="20"/>
                <w:szCs w:val="20"/>
              </w:rPr>
            </w:pPr>
            <w:r w:rsidRPr="002C1A40">
              <w:rPr>
                <w:rFonts w:cs="Arial"/>
                <w:sz w:val="20"/>
                <w:szCs w:val="20"/>
              </w:rPr>
              <w:t>SoCalGas</w:t>
            </w:r>
          </w:p>
        </w:tc>
        <w:tc>
          <w:tcPr>
            <w:tcW w:w="2596" w:type="pct"/>
          </w:tcPr>
          <w:p w14:paraId="720AD6F7" w14:textId="6BF91A90" w:rsidR="000D6227" w:rsidRPr="002C1A40" w:rsidRDefault="000D6227" w:rsidP="00333DCC">
            <w:pPr>
              <w:spacing w:before="20" w:after="20"/>
              <w:rPr>
                <w:rFonts w:cs="Arial"/>
                <w:sz w:val="20"/>
                <w:szCs w:val="20"/>
              </w:rPr>
            </w:pPr>
            <w:r w:rsidRPr="002C1A40">
              <w:rPr>
                <w:rFonts w:cs="Arial"/>
                <w:sz w:val="20"/>
                <w:szCs w:val="20"/>
              </w:rPr>
              <w:t xml:space="preserve">Added flow control valve (FCV) measures </w:t>
            </w:r>
          </w:p>
        </w:tc>
      </w:tr>
      <w:tr w:rsidR="000D6227" w:rsidRPr="00CA1CB3" w14:paraId="74EF6133" w14:textId="77777777" w:rsidTr="003978EB">
        <w:trPr>
          <w:trHeight w:val="20"/>
        </w:trPr>
        <w:tc>
          <w:tcPr>
            <w:tcW w:w="503" w:type="pct"/>
            <w:vMerge/>
          </w:tcPr>
          <w:p w14:paraId="156A6C92" w14:textId="77777777" w:rsidR="000D6227" w:rsidRDefault="000D6227" w:rsidP="000D6227">
            <w:pPr>
              <w:spacing w:before="20" w:after="20"/>
              <w:rPr>
                <w:rFonts w:cs="Arial"/>
                <w:sz w:val="20"/>
                <w:szCs w:val="20"/>
              </w:rPr>
            </w:pPr>
          </w:p>
        </w:tc>
        <w:tc>
          <w:tcPr>
            <w:tcW w:w="890" w:type="pct"/>
          </w:tcPr>
          <w:p w14:paraId="2ED3CBB9" w14:textId="421CCE28" w:rsidR="000D6227" w:rsidRPr="002C1A40" w:rsidRDefault="000D6227" w:rsidP="000D6227">
            <w:pPr>
              <w:spacing w:before="20" w:after="20"/>
              <w:rPr>
                <w:rFonts w:cs="Arial"/>
                <w:sz w:val="20"/>
                <w:szCs w:val="20"/>
              </w:rPr>
            </w:pPr>
            <w:r w:rsidRPr="001B6DA2">
              <w:rPr>
                <w:sz w:val="20"/>
                <w:szCs w:val="20"/>
              </w:rPr>
              <w:t>03/</w:t>
            </w:r>
            <w:r w:rsidR="00162F88">
              <w:rPr>
                <w:sz w:val="20"/>
                <w:szCs w:val="20"/>
              </w:rPr>
              <w:t>23</w:t>
            </w:r>
            <w:r w:rsidRPr="001B6DA2">
              <w:rPr>
                <w:sz w:val="20"/>
                <w:szCs w:val="20"/>
              </w:rPr>
              <w:t>/2021</w:t>
            </w:r>
          </w:p>
        </w:tc>
        <w:tc>
          <w:tcPr>
            <w:tcW w:w="1011" w:type="pct"/>
          </w:tcPr>
          <w:p w14:paraId="119CBEC2" w14:textId="77777777" w:rsidR="000D6227" w:rsidRDefault="000D6227" w:rsidP="000D6227">
            <w:pPr>
              <w:pStyle w:val="TableParagraph"/>
              <w:spacing w:line="234" w:lineRule="exact"/>
              <w:rPr>
                <w:sz w:val="20"/>
              </w:rPr>
            </w:pPr>
            <w:r>
              <w:rPr>
                <w:sz w:val="20"/>
              </w:rPr>
              <w:t>Soe K Hla</w:t>
            </w:r>
          </w:p>
          <w:p w14:paraId="0E3B31E8" w14:textId="454EE487" w:rsidR="000D6227" w:rsidRPr="002C1A40" w:rsidRDefault="000D6227" w:rsidP="000D6227">
            <w:pPr>
              <w:spacing w:before="20" w:after="20"/>
              <w:rPr>
                <w:rFonts w:cs="Arial"/>
                <w:sz w:val="20"/>
                <w:szCs w:val="20"/>
              </w:rPr>
            </w:pPr>
            <w:r>
              <w:rPr>
                <w:sz w:val="20"/>
              </w:rPr>
              <w:t>PG&amp;E</w:t>
            </w:r>
          </w:p>
        </w:tc>
        <w:tc>
          <w:tcPr>
            <w:tcW w:w="2596" w:type="pct"/>
          </w:tcPr>
          <w:p w14:paraId="607E834F" w14:textId="526C4FAB" w:rsidR="000D6227" w:rsidRDefault="000D6227" w:rsidP="000D6227">
            <w:pPr>
              <w:spacing w:before="20" w:after="20"/>
              <w:rPr>
                <w:sz w:val="20"/>
                <w:szCs w:val="20"/>
              </w:rPr>
            </w:pPr>
            <w:r>
              <w:rPr>
                <w:sz w:val="20"/>
                <w:szCs w:val="20"/>
              </w:rPr>
              <w:t>Adopted all remaining measures for PG&amp;E</w:t>
            </w:r>
          </w:p>
          <w:p w14:paraId="44B96BAE" w14:textId="77777777" w:rsidR="004C063A" w:rsidRDefault="004C063A" w:rsidP="000D6227">
            <w:pPr>
              <w:spacing w:before="20" w:after="20"/>
              <w:rPr>
                <w:rFonts w:cs="Arial"/>
                <w:sz w:val="20"/>
                <w:szCs w:val="20"/>
              </w:rPr>
            </w:pPr>
            <w:r>
              <w:rPr>
                <w:rFonts w:cs="Arial"/>
                <w:sz w:val="20"/>
                <w:szCs w:val="20"/>
              </w:rPr>
              <w:t xml:space="preserve">Added AOE </w:t>
            </w:r>
            <w:proofErr w:type="spellStart"/>
            <w:r>
              <w:rPr>
                <w:rFonts w:cs="Arial"/>
                <w:sz w:val="20"/>
                <w:szCs w:val="20"/>
              </w:rPr>
              <w:t>DnDeemed</w:t>
            </w:r>
            <w:proofErr w:type="spellEnd"/>
            <w:r w:rsidR="006534B2">
              <w:rPr>
                <w:rFonts w:cs="Arial"/>
                <w:sz w:val="20"/>
                <w:szCs w:val="20"/>
              </w:rPr>
              <w:t xml:space="preserve"> to</w:t>
            </w:r>
            <w:r w:rsidR="004B0D5A">
              <w:rPr>
                <w:rFonts w:cs="Arial"/>
                <w:sz w:val="20"/>
                <w:szCs w:val="20"/>
              </w:rPr>
              <w:t xml:space="preserve"> Implementation Eligibility Table</w:t>
            </w:r>
          </w:p>
          <w:p w14:paraId="2353B080" w14:textId="77777777" w:rsidR="004B0D5A" w:rsidRDefault="004B0D5A" w:rsidP="000D6227">
            <w:pPr>
              <w:spacing w:before="20" w:after="20"/>
              <w:rPr>
                <w:rFonts w:cs="Arial"/>
                <w:sz w:val="20"/>
                <w:szCs w:val="20"/>
              </w:rPr>
            </w:pPr>
            <w:r>
              <w:rPr>
                <w:rFonts w:cs="Arial"/>
                <w:sz w:val="20"/>
                <w:szCs w:val="20"/>
              </w:rPr>
              <w:t>Fixed</w:t>
            </w:r>
            <w:r w:rsidR="00CE6336">
              <w:rPr>
                <w:rFonts w:cs="Arial"/>
                <w:sz w:val="20"/>
                <w:szCs w:val="20"/>
              </w:rPr>
              <w:t xml:space="preserve"> incorrect EUL ID and </w:t>
            </w:r>
            <w:proofErr w:type="spellStart"/>
            <w:r w:rsidR="00CE6336">
              <w:rPr>
                <w:rFonts w:cs="Arial"/>
                <w:sz w:val="20"/>
                <w:szCs w:val="20"/>
              </w:rPr>
              <w:t>ElecImpactProfile</w:t>
            </w:r>
            <w:proofErr w:type="spellEnd"/>
            <w:r w:rsidR="00CE6336">
              <w:rPr>
                <w:rFonts w:cs="Arial"/>
                <w:sz w:val="20"/>
                <w:szCs w:val="20"/>
              </w:rPr>
              <w:t xml:space="preserve"> ID in EAD</w:t>
            </w:r>
          </w:p>
          <w:p w14:paraId="210F09F2" w14:textId="6EF8BE37" w:rsidR="008F15F6" w:rsidRDefault="008F15F6" w:rsidP="000D6227">
            <w:pPr>
              <w:spacing w:before="20" w:after="20"/>
              <w:rPr>
                <w:rFonts w:cs="Arial"/>
                <w:sz w:val="20"/>
                <w:szCs w:val="20"/>
              </w:rPr>
            </w:pPr>
            <w:r>
              <w:rPr>
                <w:rFonts w:cs="Arial"/>
                <w:sz w:val="20"/>
                <w:szCs w:val="20"/>
              </w:rPr>
              <w:t xml:space="preserve">Replaced incorrect </w:t>
            </w:r>
            <w:proofErr w:type="spellStart"/>
            <w:r>
              <w:rPr>
                <w:rFonts w:cs="Arial"/>
                <w:sz w:val="20"/>
                <w:szCs w:val="20"/>
              </w:rPr>
              <w:t>Dataspec</w:t>
            </w:r>
            <w:proofErr w:type="spellEnd"/>
            <w:r>
              <w:rPr>
                <w:rFonts w:cs="Arial"/>
                <w:sz w:val="20"/>
                <w:szCs w:val="20"/>
              </w:rPr>
              <w:t xml:space="preserve"> and Coversheet from </w:t>
            </w:r>
            <w:r w:rsidR="00D12F07">
              <w:rPr>
                <w:rFonts w:cs="Arial"/>
                <w:sz w:val="20"/>
                <w:szCs w:val="20"/>
              </w:rPr>
              <w:t xml:space="preserve">the </w:t>
            </w:r>
            <w:r w:rsidR="00D659CF">
              <w:rPr>
                <w:rFonts w:cs="Arial"/>
                <w:sz w:val="20"/>
                <w:szCs w:val="20"/>
              </w:rPr>
              <w:t>previous</w:t>
            </w:r>
            <w:r>
              <w:rPr>
                <w:rFonts w:cs="Arial"/>
                <w:sz w:val="20"/>
                <w:szCs w:val="20"/>
              </w:rPr>
              <w:t xml:space="preserve"> upload.</w:t>
            </w:r>
          </w:p>
          <w:p w14:paraId="0FF63F84" w14:textId="2153A5DE" w:rsidR="008F15F6" w:rsidRPr="002C1A40" w:rsidRDefault="008F15F6" w:rsidP="000D6227">
            <w:pPr>
              <w:spacing w:before="20" w:after="20"/>
              <w:rPr>
                <w:rFonts w:cs="Arial"/>
                <w:sz w:val="20"/>
                <w:szCs w:val="20"/>
              </w:rPr>
            </w:pPr>
          </w:p>
        </w:tc>
      </w:tr>
      <w:bookmarkEnd w:id="121"/>
    </w:tbl>
    <w:p w14:paraId="00B80AB5" w14:textId="77777777" w:rsidR="001A082D" w:rsidRDefault="001A082D" w:rsidP="00031810"/>
    <w:bookmarkEnd w:id="122"/>
    <w:p w14:paraId="0CC62934" w14:textId="3B488BAD" w:rsidR="00387072" w:rsidRDefault="00387072">
      <w:pPr>
        <w:spacing w:before="0" w:after="0" w:line="240" w:lineRule="auto"/>
        <w:rPr>
          <w:color w:val="FFFFFF" w:themeColor="background1"/>
        </w:rPr>
      </w:pPr>
    </w:p>
    <w:sectPr w:rsidR="00387072"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31562" w14:textId="77777777" w:rsidR="008318E0" w:rsidRDefault="008318E0" w:rsidP="00A2690C">
      <w:r>
        <w:separator/>
      </w:r>
    </w:p>
    <w:p w14:paraId="4BA83993" w14:textId="77777777" w:rsidR="008318E0" w:rsidRDefault="008318E0"/>
  </w:endnote>
  <w:endnote w:type="continuationSeparator" w:id="0">
    <w:p w14:paraId="4711DA83" w14:textId="77777777" w:rsidR="008318E0" w:rsidRDefault="008318E0" w:rsidP="00A2690C">
      <w:r>
        <w:continuationSeparator/>
      </w:r>
    </w:p>
    <w:p w14:paraId="12F8A0C5" w14:textId="77777777" w:rsidR="008318E0" w:rsidRDefault="00831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Linotype-Roman">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B11438" w:rsidRDefault="00B11438"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B11438" w:rsidRPr="00B837C1" w:rsidRDefault="00B11438"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B11438" w:rsidRDefault="00B11438"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848D3A3" w:rsidR="00B11438" w:rsidRPr="00B837C1" w:rsidRDefault="00B11438"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5</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B11438" w:rsidRDefault="00B11438"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3A5EF467" w:rsidR="00B11438" w:rsidRPr="005F505E" w:rsidRDefault="00B11438"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963A5" w14:textId="77777777" w:rsidR="008318E0" w:rsidRDefault="008318E0" w:rsidP="00A2690C">
      <w:r>
        <w:separator/>
      </w:r>
    </w:p>
    <w:p w14:paraId="797056ED" w14:textId="77777777" w:rsidR="008318E0" w:rsidRDefault="008318E0"/>
  </w:footnote>
  <w:footnote w:type="continuationSeparator" w:id="0">
    <w:p w14:paraId="2288EFB8" w14:textId="77777777" w:rsidR="008318E0" w:rsidRDefault="008318E0" w:rsidP="00A2690C">
      <w:r>
        <w:continuationSeparator/>
      </w:r>
    </w:p>
    <w:p w14:paraId="7A6124EE" w14:textId="77777777" w:rsidR="008318E0" w:rsidRDefault="008318E0"/>
  </w:footnote>
  <w:footnote w:id="1">
    <w:p w14:paraId="10967386" w14:textId="77777777" w:rsidR="00B11438" w:rsidRDefault="00B11438" w:rsidP="00DB6E2E">
      <w:pPr>
        <w:pStyle w:val="FootnoteText"/>
      </w:pPr>
      <w:r>
        <w:rPr>
          <w:rStyle w:val="FootnoteReference"/>
        </w:rPr>
        <w:footnoteRef/>
      </w:r>
      <w:r>
        <w:t xml:space="preserve"> </w:t>
      </w:r>
      <w:r w:rsidRPr="001B30F6">
        <w:rPr>
          <w:rStyle w:val="eTRMFootnoteTextChar"/>
        </w:rPr>
        <w:t>Umesh, V.</w:t>
      </w:r>
      <w:r>
        <w:rPr>
          <w:rStyle w:val="eTRMFootnoteTextChar"/>
        </w:rPr>
        <w:t xml:space="preserve"> and Sitaram, N. </w:t>
      </w:r>
      <w:r w:rsidRPr="001B30F6">
        <w:rPr>
          <w:rStyle w:val="eTRMFootnoteTextChar"/>
        </w:rPr>
        <w:t xml:space="preserve">2014. </w:t>
      </w:r>
      <w:r>
        <w:rPr>
          <w:rStyle w:val="eTRMFootnoteTextChar"/>
        </w:rPr>
        <w:t>“</w:t>
      </w:r>
      <w:r w:rsidRPr="001B30F6">
        <w:rPr>
          <w:rStyle w:val="eTRMFootnoteTextChar"/>
        </w:rPr>
        <w:t>Hydraulic Performance of Faucet Aerator as Water Saving Device and Suggestions for its Improvements.</w:t>
      </w:r>
      <w:r>
        <w:rPr>
          <w:rStyle w:val="eTRMFootnoteTextChar"/>
        </w:rPr>
        <w:t>”</w:t>
      </w:r>
      <w:r w:rsidRPr="001B30F6">
        <w:rPr>
          <w:rStyle w:val="eTRMFootnoteTextChar"/>
        </w:rPr>
        <w:t xml:space="preserve"> International Journal of Research in Engineering and Technology, Volume 3 (Issue 7). </w:t>
      </w:r>
    </w:p>
  </w:footnote>
  <w:footnote w:id="2">
    <w:p w14:paraId="7F2F6F8A" w14:textId="7A396E2E" w:rsidR="00B11438" w:rsidRDefault="00B11438" w:rsidP="00E35947">
      <w:pPr>
        <w:pStyle w:val="FootnoteText"/>
      </w:pPr>
      <w:r>
        <w:rPr>
          <w:rStyle w:val="FootnoteReference"/>
        </w:rPr>
        <w:footnoteRef/>
      </w:r>
      <w:r>
        <w:t xml:space="preserve"> </w:t>
      </w:r>
      <w:r w:rsidRPr="00A51661">
        <w:t>Sempra Energy Utilities (SEU)</w:t>
      </w:r>
      <w:r>
        <w:t xml:space="preserve">. 2012. </w:t>
      </w:r>
      <w:r w:rsidRPr="00A51661">
        <w:t>“</w:t>
      </w:r>
      <w:r>
        <w:t xml:space="preserve">SEU 2009 </w:t>
      </w:r>
      <w:r w:rsidRPr="0080702C">
        <w:t>ASW Data REDACTED</w:t>
      </w:r>
      <w:r>
        <w:t>.xlsx</w:t>
      </w:r>
      <w:r w:rsidRPr="00A51661">
        <w:t>”.</w:t>
      </w:r>
    </w:p>
  </w:footnote>
  <w:footnote w:id="3">
    <w:p w14:paraId="4D48F7AB" w14:textId="4E8A92A2" w:rsidR="00B11438" w:rsidRDefault="00B11438">
      <w:pPr>
        <w:pStyle w:val="FootnoteText"/>
      </w:pPr>
      <w:r>
        <w:rPr>
          <w:rStyle w:val="FootnoteReference"/>
        </w:rPr>
        <w:footnoteRef/>
      </w:r>
      <w:r>
        <w:t xml:space="preserve"> </w:t>
      </w:r>
      <w:r w:rsidRPr="007403A0">
        <w:rPr>
          <w:rStyle w:val="eTRMFootnoteTextChar"/>
        </w:rPr>
        <w:t>California Energy Commission (CEC). 2017</w:t>
      </w:r>
      <w:r w:rsidRPr="007403A0">
        <w:rPr>
          <w:rStyle w:val="eTRMFootnoteTextChar"/>
          <w:i/>
        </w:rPr>
        <w:t>. 2016 Appliance Efficiency Regulations.</w:t>
      </w:r>
      <w:r w:rsidRPr="007403A0">
        <w:rPr>
          <w:rStyle w:val="eTRMFootnoteTextChar"/>
        </w:rPr>
        <w:t xml:space="preserve"> CEC-400-2017-002. Section 1605.3(h). Table H-3.</w:t>
      </w:r>
    </w:p>
  </w:footnote>
  <w:footnote w:id="4">
    <w:p w14:paraId="54483D5D" w14:textId="555E50D8" w:rsidR="00B11438" w:rsidRDefault="00B11438" w:rsidP="7FB13BFA">
      <w:pPr>
        <w:pStyle w:val="FootnoteText"/>
      </w:pPr>
      <w:r w:rsidRPr="7FB13BFA">
        <w:rPr>
          <w:rStyle w:val="FootnoteReference"/>
        </w:rPr>
        <w:footnoteRef/>
      </w:r>
      <w:r>
        <w:t xml:space="preserve"> </w:t>
      </w:r>
      <w:r w:rsidRPr="7FB13BFA">
        <w:t>Track 1 Working Group. 2016. Accelerated Replacement Using Preponderance of Evidence. Version 2.0. December 7.</w:t>
      </w:r>
      <w:r>
        <w:t xml:space="preserve"> </w:t>
      </w:r>
    </w:p>
  </w:footnote>
  <w:footnote w:id="5">
    <w:p w14:paraId="199C6DBC" w14:textId="37BA4C0E" w:rsidR="00B11438" w:rsidRDefault="00B11438" w:rsidP="00847ECB">
      <w:pPr>
        <w:pStyle w:val="FootnoteText"/>
      </w:pPr>
      <w:r>
        <w:rPr>
          <w:rStyle w:val="FootnoteReference"/>
        </w:rPr>
        <w:footnoteRef/>
      </w:r>
      <w:r>
        <w:t xml:space="preserve"> </w:t>
      </w:r>
      <w:r w:rsidRPr="00A339E0">
        <w:t xml:space="preserve">California Public Utilities Commission (CPUC), Energy Division. 2013. </w:t>
      </w:r>
      <w:r>
        <w:t>“</w:t>
      </w:r>
      <w:r w:rsidRPr="00BB21D8">
        <w:t>Workpaper Disposition for Water Fixtures</w:t>
      </w:r>
      <w:r w:rsidRPr="00537BB6">
        <w:rPr>
          <w:i/>
        </w:rPr>
        <w:t>.</w:t>
      </w:r>
      <w:r>
        <w:t>”</w:t>
      </w:r>
      <w:r w:rsidRPr="00A339E0">
        <w:t xml:space="preserve"> February 22.</w:t>
      </w:r>
    </w:p>
  </w:footnote>
  <w:footnote w:id="6">
    <w:p w14:paraId="4477A299" w14:textId="5A19CDD0" w:rsidR="00B11438" w:rsidRDefault="00B11438" w:rsidP="00E730CF">
      <w:pPr>
        <w:pStyle w:val="p1"/>
      </w:pPr>
      <w:r w:rsidRPr="00325626">
        <w:rPr>
          <w:rStyle w:val="FootnoteReference"/>
        </w:rPr>
        <w:footnoteRef/>
      </w:r>
      <w:r w:rsidRPr="00325626">
        <w:t xml:space="preserve"> </w:t>
      </w:r>
      <w:r w:rsidRPr="00325626">
        <w:rPr>
          <w:rStyle w:val="eTRMFootnoteTextChar"/>
        </w:rPr>
        <w:t xml:space="preserve">Hendron, R. and C. Engebrecht. 2010. </w:t>
      </w:r>
      <w:r w:rsidRPr="00325626">
        <w:rPr>
          <w:rStyle w:val="eTRMFootnoteTextChar"/>
          <w:i/>
        </w:rPr>
        <w:t>Building America Research Benchmark Definition</w:t>
      </w:r>
      <w:r>
        <w:rPr>
          <w:rStyle w:val="eTRMFootnoteTextChar"/>
          <w:i/>
        </w:rPr>
        <w:t>: Updated December 2009</w:t>
      </w:r>
      <w:r w:rsidRPr="00325626">
        <w:rPr>
          <w:rStyle w:val="eTRMFootnoteTextChar"/>
          <w:i/>
        </w:rPr>
        <w:t>.</w:t>
      </w:r>
      <w:r w:rsidRPr="00325626">
        <w:rPr>
          <w:rStyle w:val="eTRMFootnoteTextChar"/>
        </w:rPr>
        <w:t xml:space="preserve"> National Renewable Energy Laboratory.  NREL/TP-550-47246.</w:t>
      </w:r>
      <w:r w:rsidRPr="008D1F4D">
        <w:rPr>
          <w:rStyle w:val="eTRMFootnoteTextChar"/>
        </w:rPr>
        <w:t> </w:t>
      </w:r>
      <w:r w:rsidRPr="002D5FE8">
        <w:rPr>
          <w:rFonts w:eastAsia="Times New Roman" w:cs="Times New Roman"/>
          <w:sz w:val="20"/>
          <w:szCs w:val="20"/>
          <w:lang w:val="x-none" w:eastAsia="x-none"/>
        </w:rPr>
        <w:t xml:space="preserve"> </w:t>
      </w:r>
    </w:p>
  </w:footnote>
  <w:footnote w:id="7">
    <w:p w14:paraId="6618EF2E" w14:textId="25A7AC6C" w:rsidR="00B11438" w:rsidRDefault="00B11438">
      <w:pPr>
        <w:pStyle w:val="FootnoteText"/>
      </w:pPr>
      <w:r>
        <w:rPr>
          <w:rStyle w:val="FootnoteReference"/>
        </w:rPr>
        <w:footnoteRef/>
      </w:r>
      <w:r>
        <w:t xml:space="preserve"> </w:t>
      </w:r>
      <w:r w:rsidRPr="00A51661">
        <w:t>Sempra Energy Utilities (SEU)</w:t>
      </w:r>
      <w:r>
        <w:t xml:space="preserve">. 2012. </w:t>
      </w:r>
      <w:r w:rsidRPr="00A51661">
        <w:t>“</w:t>
      </w:r>
      <w:r>
        <w:t>SEU</w:t>
      </w:r>
      <w:r w:rsidRPr="0080702C">
        <w:t xml:space="preserve"> </w:t>
      </w:r>
      <w:r>
        <w:t xml:space="preserve">2009 </w:t>
      </w:r>
      <w:r w:rsidRPr="0080702C">
        <w:t>ASW Data REDACTED</w:t>
      </w:r>
      <w:r>
        <w:t>.xlsx</w:t>
      </w:r>
      <w:r w:rsidRPr="00A51661">
        <w:t>”.</w:t>
      </w:r>
    </w:p>
  </w:footnote>
  <w:footnote w:id="8">
    <w:p w14:paraId="592ABCA9" w14:textId="77777777" w:rsidR="00B11438" w:rsidRDefault="00B11438" w:rsidP="00B67371">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D03583">
        <w:rPr>
          <w:i/>
        </w:rPr>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9">
    <w:p w14:paraId="57948D2A" w14:textId="77777777" w:rsidR="00B11438" w:rsidRDefault="00B11438" w:rsidP="00B67371">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0">
    <w:p w14:paraId="5A89FAE5" w14:textId="71C51237" w:rsidR="00B11438" w:rsidRDefault="00B11438">
      <w:pPr>
        <w:pStyle w:val="FootnoteText"/>
      </w:pPr>
      <w:r>
        <w:rPr>
          <w:rStyle w:val="FootnoteReference"/>
        </w:rPr>
        <w:footnoteRef/>
      </w:r>
      <w:r>
        <w:t xml:space="preserve"> </w:t>
      </w:r>
      <w:r w:rsidRPr="003A561F">
        <w:t>California Public Utilities Commission (CPUC). 2008. “Revised DEER Measure Cost Summary (05_30_2008) Revised (06_02_2008).xlsx.”</w:t>
      </w:r>
      <w:r>
        <w:t xml:space="preserve"> See “Res – Shwrhd &amp; Aerators” tab.</w:t>
      </w:r>
    </w:p>
  </w:footnote>
  <w:footnote w:id="11">
    <w:p w14:paraId="497C226A" w14:textId="72044E35" w:rsidR="00B11438" w:rsidRDefault="00B11438" w:rsidP="009103B6">
      <w:pPr>
        <w:pStyle w:val="FootnoteText"/>
      </w:pPr>
      <w:r>
        <w:rPr>
          <w:rStyle w:val="FootnoteReference"/>
        </w:rPr>
        <w:footnoteRef/>
      </w:r>
      <w:r>
        <w:t xml:space="preserve"> This data is proprietary and documentation is not available.</w:t>
      </w:r>
    </w:p>
  </w:footnote>
  <w:footnote w:id="12">
    <w:p w14:paraId="2AB4AD8E" w14:textId="77777777" w:rsidR="00B11438" w:rsidRDefault="00B11438" w:rsidP="006E5878">
      <w:pPr>
        <w:pStyle w:val="FootnoteText"/>
      </w:pPr>
      <w:r>
        <w:rPr>
          <w:rStyle w:val="FootnoteReference"/>
        </w:rPr>
        <w:footnoteRef/>
      </w:r>
      <w:r>
        <w:t xml:space="preserve"> This data is proprietary and documentation is not available.</w:t>
      </w:r>
    </w:p>
  </w:footnote>
  <w:footnote w:id="13">
    <w:p w14:paraId="2FDAC9A3" w14:textId="2F197FF1" w:rsidR="00B11438" w:rsidRDefault="00B11438" w:rsidP="00140D18">
      <w:pPr>
        <w:pStyle w:val="FootnoteText"/>
      </w:pPr>
      <w:r>
        <w:rPr>
          <w:rStyle w:val="FootnoteReference"/>
        </w:rPr>
        <w:footnoteRef/>
      </w:r>
      <w:r>
        <w:t xml:space="preserve"> This data is proprietary and documentation is not available.</w:t>
      </w:r>
    </w:p>
  </w:footnote>
  <w:footnote w:id="14">
    <w:p w14:paraId="40052409" w14:textId="5B3F33D5" w:rsidR="00B11438" w:rsidRDefault="00B11438">
      <w:pPr>
        <w:pStyle w:val="FootnoteText"/>
      </w:pPr>
      <w:r>
        <w:rPr>
          <w:rStyle w:val="FootnoteReference"/>
        </w:rPr>
        <w:footnoteRef/>
      </w:r>
      <w:r>
        <w:t xml:space="preserve"> </w:t>
      </w:r>
      <w:r w:rsidR="00665057" w:rsidRPr="007D5AD5">
        <w:t>California Public Utilities Commission (CPUC). 2008. “Revised DEER Measure Cost Summary (05_30_2008) Revised (06_02_2008).xlsx.”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B11438" w:rsidRPr="000220A0" w:rsidRDefault="00B11438"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B11438" w:rsidRDefault="00B11438">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B11438" w:rsidRDefault="00B114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B11438" w:rsidRDefault="00B11438" w:rsidP="00BD221D">
    <w:pPr>
      <w:jc w:val="center"/>
    </w:pPr>
  </w:p>
  <w:p w14:paraId="342310D5" w14:textId="5BACBCD8" w:rsidR="00B11438" w:rsidRDefault="00B11438"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52038E53" w:rsidR="00B11438" w:rsidRDefault="00B11438" w:rsidP="001D7A57">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 xml:space="preserve">Faucet Aerator, Residential </w:t>
    </w:r>
  </w:p>
  <w:p w14:paraId="2AC97B25" w14:textId="77777777" w:rsidR="00B11438" w:rsidRDefault="00B114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B11438" w:rsidRDefault="00B11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609E4"/>
    <w:multiLevelType w:val="hybridMultilevel"/>
    <w:tmpl w:val="1C263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2181181A"/>
    <w:multiLevelType w:val="hybridMultilevel"/>
    <w:tmpl w:val="A14C4A42"/>
    <w:lvl w:ilvl="0" w:tplc="7D16587C">
      <w:numFmt w:val="bullet"/>
      <w:lvlText w:val="-"/>
      <w:lvlJc w:val="left"/>
      <w:pPr>
        <w:ind w:left="720" w:hanging="360"/>
      </w:pPr>
      <w:rPr>
        <w:rFonts w:ascii="Times New Roman" w:eastAsia="Times New Roman" w:hAnsi="Times New Roman" w:cs="Times New Roman"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9" w15:restartNumberingAfterBreak="0">
    <w:nsid w:val="3A8947EE"/>
    <w:multiLevelType w:val="hybridMultilevel"/>
    <w:tmpl w:val="5A6A1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2710D"/>
    <w:multiLevelType w:val="hybridMultilevel"/>
    <w:tmpl w:val="C7C67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9E2751"/>
    <w:multiLevelType w:val="hybridMultilevel"/>
    <w:tmpl w:val="FEE8D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2463851"/>
    <w:multiLevelType w:val="hybridMultilevel"/>
    <w:tmpl w:val="5A6A1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5" w15:restartNumberingAfterBreak="0">
    <w:nsid w:val="676D7B4A"/>
    <w:multiLevelType w:val="hybridMultilevel"/>
    <w:tmpl w:val="24A66C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5C7ED6"/>
    <w:multiLevelType w:val="hybridMultilevel"/>
    <w:tmpl w:val="420662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0D42D4"/>
    <w:multiLevelType w:val="hybridMultilevel"/>
    <w:tmpl w:val="2E74A676"/>
    <w:lvl w:ilvl="0" w:tplc="39FAA980">
      <w:numFmt w:val="decimal"/>
      <w:lvlText w:val="%1."/>
      <w:lvlJc w:val="left"/>
      <w:pPr>
        <w:ind w:left="720" w:hanging="360"/>
      </w:pPr>
      <w:rPr>
        <w:rFonts w:cstheme="minorHAnsi" w:hint="default"/>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767DD4"/>
    <w:multiLevelType w:val="hybridMultilevel"/>
    <w:tmpl w:val="C7C67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8"/>
  </w:num>
  <w:num w:numId="2">
    <w:abstractNumId w:val="20"/>
  </w:num>
  <w:num w:numId="3">
    <w:abstractNumId w:val="22"/>
  </w:num>
  <w:num w:numId="4">
    <w:abstractNumId w:val="22"/>
  </w:num>
  <w:num w:numId="5">
    <w:abstractNumId w:val="14"/>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5"/>
  </w:num>
  <w:num w:numId="8">
    <w:abstractNumId w:val="19"/>
  </w:num>
  <w:num w:numId="9">
    <w:abstractNumId w:val="0"/>
  </w:num>
  <w:num w:numId="10">
    <w:abstractNumId w:val="21"/>
  </w:num>
  <w:num w:numId="11">
    <w:abstractNumId w:val="6"/>
  </w:num>
  <w:num w:numId="12">
    <w:abstractNumId w:val="3"/>
  </w:num>
  <w:num w:numId="13">
    <w:abstractNumId w:val="12"/>
  </w:num>
  <w:num w:numId="14">
    <w:abstractNumId w:val="9"/>
  </w:num>
  <w:num w:numId="15">
    <w:abstractNumId w:val="10"/>
  </w:num>
  <w:num w:numId="16">
    <w:abstractNumId w:val="18"/>
  </w:num>
  <w:num w:numId="17">
    <w:abstractNumId w:val="11"/>
  </w:num>
  <w:num w:numId="18">
    <w:abstractNumId w:val="4"/>
  </w:num>
  <w:num w:numId="19">
    <w:abstractNumId w:val="16"/>
  </w:num>
  <w:num w:numId="20">
    <w:abstractNumId w:val="11"/>
  </w:num>
  <w:num w:numId="21">
    <w:abstractNumId w:val="17"/>
  </w:num>
  <w:num w:numId="22">
    <w:abstractNumId w:val="2"/>
  </w:num>
  <w:num w:numId="2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492A"/>
    <w:rsid w:val="00005B06"/>
    <w:rsid w:val="000063B0"/>
    <w:rsid w:val="00010575"/>
    <w:rsid w:val="000110D9"/>
    <w:rsid w:val="000111AF"/>
    <w:rsid w:val="0001404D"/>
    <w:rsid w:val="000157D0"/>
    <w:rsid w:val="00016928"/>
    <w:rsid w:val="00021BCC"/>
    <w:rsid w:val="000220A0"/>
    <w:rsid w:val="00022B88"/>
    <w:rsid w:val="0002389A"/>
    <w:rsid w:val="0002463C"/>
    <w:rsid w:val="000249D7"/>
    <w:rsid w:val="00025B13"/>
    <w:rsid w:val="00026D58"/>
    <w:rsid w:val="0002754C"/>
    <w:rsid w:val="000302DF"/>
    <w:rsid w:val="00031184"/>
    <w:rsid w:val="00031810"/>
    <w:rsid w:val="00034C09"/>
    <w:rsid w:val="00037A06"/>
    <w:rsid w:val="0004513F"/>
    <w:rsid w:val="00046BB0"/>
    <w:rsid w:val="000476FD"/>
    <w:rsid w:val="00047A9E"/>
    <w:rsid w:val="00051DBB"/>
    <w:rsid w:val="00052C95"/>
    <w:rsid w:val="00061D34"/>
    <w:rsid w:val="000621A8"/>
    <w:rsid w:val="00064D23"/>
    <w:rsid w:val="000672E5"/>
    <w:rsid w:val="000708BE"/>
    <w:rsid w:val="00071443"/>
    <w:rsid w:val="00071547"/>
    <w:rsid w:val="0007464E"/>
    <w:rsid w:val="00074E3E"/>
    <w:rsid w:val="000767E9"/>
    <w:rsid w:val="0008108C"/>
    <w:rsid w:val="000841AA"/>
    <w:rsid w:val="00084D12"/>
    <w:rsid w:val="000859C4"/>
    <w:rsid w:val="0009055D"/>
    <w:rsid w:val="00090BBF"/>
    <w:rsid w:val="000910B7"/>
    <w:rsid w:val="00091581"/>
    <w:rsid w:val="000937ED"/>
    <w:rsid w:val="00094517"/>
    <w:rsid w:val="0009565B"/>
    <w:rsid w:val="00096485"/>
    <w:rsid w:val="000978C8"/>
    <w:rsid w:val="000A4D3A"/>
    <w:rsid w:val="000A62EF"/>
    <w:rsid w:val="000A66B7"/>
    <w:rsid w:val="000A7058"/>
    <w:rsid w:val="000B6004"/>
    <w:rsid w:val="000B726B"/>
    <w:rsid w:val="000C36B4"/>
    <w:rsid w:val="000C72C1"/>
    <w:rsid w:val="000C7911"/>
    <w:rsid w:val="000D10EB"/>
    <w:rsid w:val="000D6227"/>
    <w:rsid w:val="000D6A83"/>
    <w:rsid w:val="000D7004"/>
    <w:rsid w:val="000F1833"/>
    <w:rsid w:val="000F2056"/>
    <w:rsid w:val="000F62EB"/>
    <w:rsid w:val="00102E56"/>
    <w:rsid w:val="00103399"/>
    <w:rsid w:val="00104933"/>
    <w:rsid w:val="00107EA7"/>
    <w:rsid w:val="00110408"/>
    <w:rsid w:val="00111A53"/>
    <w:rsid w:val="0011352D"/>
    <w:rsid w:val="0011498C"/>
    <w:rsid w:val="00115F9F"/>
    <w:rsid w:val="00120592"/>
    <w:rsid w:val="001217DF"/>
    <w:rsid w:val="0012187D"/>
    <w:rsid w:val="00123395"/>
    <w:rsid w:val="00124BFE"/>
    <w:rsid w:val="00125678"/>
    <w:rsid w:val="00126809"/>
    <w:rsid w:val="00131C5A"/>
    <w:rsid w:val="00134ABC"/>
    <w:rsid w:val="00140D18"/>
    <w:rsid w:val="00142D3C"/>
    <w:rsid w:val="001451AB"/>
    <w:rsid w:val="001466AE"/>
    <w:rsid w:val="00147201"/>
    <w:rsid w:val="00150BC2"/>
    <w:rsid w:val="00151B9F"/>
    <w:rsid w:val="00154391"/>
    <w:rsid w:val="001543FB"/>
    <w:rsid w:val="001564FC"/>
    <w:rsid w:val="00161DF1"/>
    <w:rsid w:val="00162F88"/>
    <w:rsid w:val="001648F6"/>
    <w:rsid w:val="00167180"/>
    <w:rsid w:val="00170C55"/>
    <w:rsid w:val="00170CEB"/>
    <w:rsid w:val="00171BB8"/>
    <w:rsid w:val="00174707"/>
    <w:rsid w:val="001765C5"/>
    <w:rsid w:val="0018087E"/>
    <w:rsid w:val="00180964"/>
    <w:rsid w:val="00180DAD"/>
    <w:rsid w:val="00181672"/>
    <w:rsid w:val="00181E01"/>
    <w:rsid w:val="001828B4"/>
    <w:rsid w:val="001910DE"/>
    <w:rsid w:val="001944A0"/>
    <w:rsid w:val="00195B03"/>
    <w:rsid w:val="00196649"/>
    <w:rsid w:val="0019718E"/>
    <w:rsid w:val="001A082D"/>
    <w:rsid w:val="001A11C7"/>
    <w:rsid w:val="001A1E03"/>
    <w:rsid w:val="001A4BE1"/>
    <w:rsid w:val="001A7A21"/>
    <w:rsid w:val="001B1D23"/>
    <w:rsid w:val="001B398B"/>
    <w:rsid w:val="001B58E4"/>
    <w:rsid w:val="001C2ACE"/>
    <w:rsid w:val="001C4069"/>
    <w:rsid w:val="001C6C9B"/>
    <w:rsid w:val="001C7134"/>
    <w:rsid w:val="001D019B"/>
    <w:rsid w:val="001D082F"/>
    <w:rsid w:val="001D65A6"/>
    <w:rsid w:val="001D7A57"/>
    <w:rsid w:val="001E1509"/>
    <w:rsid w:val="001E19A3"/>
    <w:rsid w:val="001E4C3F"/>
    <w:rsid w:val="001E6273"/>
    <w:rsid w:val="001F735E"/>
    <w:rsid w:val="002005A8"/>
    <w:rsid w:val="002006B6"/>
    <w:rsid w:val="00201DBF"/>
    <w:rsid w:val="00205BAF"/>
    <w:rsid w:val="00207F85"/>
    <w:rsid w:val="002103CD"/>
    <w:rsid w:val="0021124C"/>
    <w:rsid w:val="0021226A"/>
    <w:rsid w:val="00220B48"/>
    <w:rsid w:val="00221650"/>
    <w:rsid w:val="00222207"/>
    <w:rsid w:val="002240A0"/>
    <w:rsid w:val="00225142"/>
    <w:rsid w:val="00226694"/>
    <w:rsid w:val="00227BDD"/>
    <w:rsid w:val="002315BA"/>
    <w:rsid w:val="002318A4"/>
    <w:rsid w:val="00232091"/>
    <w:rsid w:val="002335FF"/>
    <w:rsid w:val="00233D87"/>
    <w:rsid w:val="0023666C"/>
    <w:rsid w:val="00236E0A"/>
    <w:rsid w:val="00237964"/>
    <w:rsid w:val="002434DE"/>
    <w:rsid w:val="00245AFF"/>
    <w:rsid w:val="0024607C"/>
    <w:rsid w:val="00246240"/>
    <w:rsid w:val="0024628D"/>
    <w:rsid w:val="0024690E"/>
    <w:rsid w:val="00247D11"/>
    <w:rsid w:val="00251ABC"/>
    <w:rsid w:val="002524CF"/>
    <w:rsid w:val="00252C37"/>
    <w:rsid w:val="00256400"/>
    <w:rsid w:val="002567B1"/>
    <w:rsid w:val="002671D7"/>
    <w:rsid w:val="002730A8"/>
    <w:rsid w:val="00276049"/>
    <w:rsid w:val="00276F9B"/>
    <w:rsid w:val="002830A6"/>
    <w:rsid w:val="00284AA2"/>
    <w:rsid w:val="00286348"/>
    <w:rsid w:val="00290BB3"/>
    <w:rsid w:val="002942B0"/>
    <w:rsid w:val="0029555D"/>
    <w:rsid w:val="0029781E"/>
    <w:rsid w:val="002A20C1"/>
    <w:rsid w:val="002A2471"/>
    <w:rsid w:val="002A2A94"/>
    <w:rsid w:val="002A2D5C"/>
    <w:rsid w:val="002B0F53"/>
    <w:rsid w:val="002B107C"/>
    <w:rsid w:val="002B2C97"/>
    <w:rsid w:val="002B3BF4"/>
    <w:rsid w:val="002B579B"/>
    <w:rsid w:val="002B5CDA"/>
    <w:rsid w:val="002B6DED"/>
    <w:rsid w:val="002B6F2A"/>
    <w:rsid w:val="002C0163"/>
    <w:rsid w:val="002C06FC"/>
    <w:rsid w:val="002C1117"/>
    <w:rsid w:val="002C1A40"/>
    <w:rsid w:val="002C33F2"/>
    <w:rsid w:val="002C67DF"/>
    <w:rsid w:val="002C7AE3"/>
    <w:rsid w:val="002D0036"/>
    <w:rsid w:val="002D29F8"/>
    <w:rsid w:val="002D30D2"/>
    <w:rsid w:val="002D36D0"/>
    <w:rsid w:val="002D40EE"/>
    <w:rsid w:val="002D4993"/>
    <w:rsid w:val="002D4F0A"/>
    <w:rsid w:val="002D50E9"/>
    <w:rsid w:val="002D5CFA"/>
    <w:rsid w:val="002D5FE8"/>
    <w:rsid w:val="002D723D"/>
    <w:rsid w:val="002D73E8"/>
    <w:rsid w:val="002D76AE"/>
    <w:rsid w:val="002E0CFD"/>
    <w:rsid w:val="002F03B7"/>
    <w:rsid w:val="002F6280"/>
    <w:rsid w:val="002F6C05"/>
    <w:rsid w:val="00302A82"/>
    <w:rsid w:val="00306FDC"/>
    <w:rsid w:val="003103FB"/>
    <w:rsid w:val="00313E1D"/>
    <w:rsid w:val="00314C41"/>
    <w:rsid w:val="0032120F"/>
    <w:rsid w:val="003247FA"/>
    <w:rsid w:val="00325626"/>
    <w:rsid w:val="003309DA"/>
    <w:rsid w:val="00330A0C"/>
    <w:rsid w:val="00332B1F"/>
    <w:rsid w:val="00332F5E"/>
    <w:rsid w:val="00333809"/>
    <w:rsid w:val="00333DCC"/>
    <w:rsid w:val="00336313"/>
    <w:rsid w:val="00337D1D"/>
    <w:rsid w:val="00342F77"/>
    <w:rsid w:val="003433B5"/>
    <w:rsid w:val="00344E14"/>
    <w:rsid w:val="00346B0F"/>
    <w:rsid w:val="0035060F"/>
    <w:rsid w:val="00352864"/>
    <w:rsid w:val="00354725"/>
    <w:rsid w:val="003555F5"/>
    <w:rsid w:val="00362F9E"/>
    <w:rsid w:val="00363BE8"/>
    <w:rsid w:val="0037110F"/>
    <w:rsid w:val="00372F61"/>
    <w:rsid w:val="00374782"/>
    <w:rsid w:val="00385069"/>
    <w:rsid w:val="00385C3E"/>
    <w:rsid w:val="00387072"/>
    <w:rsid w:val="00392097"/>
    <w:rsid w:val="00392684"/>
    <w:rsid w:val="003978EB"/>
    <w:rsid w:val="003A25A2"/>
    <w:rsid w:val="003A2FBC"/>
    <w:rsid w:val="003A3653"/>
    <w:rsid w:val="003A561F"/>
    <w:rsid w:val="003A623B"/>
    <w:rsid w:val="003B320D"/>
    <w:rsid w:val="003B367E"/>
    <w:rsid w:val="003B7610"/>
    <w:rsid w:val="003C175E"/>
    <w:rsid w:val="003C2CC3"/>
    <w:rsid w:val="003C344A"/>
    <w:rsid w:val="003C35ED"/>
    <w:rsid w:val="003C5992"/>
    <w:rsid w:val="003C7721"/>
    <w:rsid w:val="003D1FB8"/>
    <w:rsid w:val="003D2B2A"/>
    <w:rsid w:val="003D7104"/>
    <w:rsid w:val="003E440D"/>
    <w:rsid w:val="003E5605"/>
    <w:rsid w:val="003E56C4"/>
    <w:rsid w:val="003E79E8"/>
    <w:rsid w:val="003F264C"/>
    <w:rsid w:val="003F269E"/>
    <w:rsid w:val="003F4964"/>
    <w:rsid w:val="003F5179"/>
    <w:rsid w:val="003F65F3"/>
    <w:rsid w:val="00401C43"/>
    <w:rsid w:val="004046FF"/>
    <w:rsid w:val="004064EB"/>
    <w:rsid w:val="00410790"/>
    <w:rsid w:val="00411EF4"/>
    <w:rsid w:val="00412BED"/>
    <w:rsid w:val="004133BB"/>
    <w:rsid w:val="004142EF"/>
    <w:rsid w:val="00416F66"/>
    <w:rsid w:val="004178CD"/>
    <w:rsid w:val="00420958"/>
    <w:rsid w:val="00420EF1"/>
    <w:rsid w:val="00421920"/>
    <w:rsid w:val="00423D33"/>
    <w:rsid w:val="00423E37"/>
    <w:rsid w:val="004249A0"/>
    <w:rsid w:val="00432D49"/>
    <w:rsid w:val="00432F2F"/>
    <w:rsid w:val="004339EA"/>
    <w:rsid w:val="00433E8F"/>
    <w:rsid w:val="00434145"/>
    <w:rsid w:val="004444AB"/>
    <w:rsid w:val="0044577B"/>
    <w:rsid w:val="00447F23"/>
    <w:rsid w:val="004517F1"/>
    <w:rsid w:val="0045202C"/>
    <w:rsid w:val="004540BB"/>
    <w:rsid w:val="00454D73"/>
    <w:rsid w:val="004556DF"/>
    <w:rsid w:val="00461AB1"/>
    <w:rsid w:val="00461AE3"/>
    <w:rsid w:val="00462BB6"/>
    <w:rsid w:val="00464A63"/>
    <w:rsid w:val="00466DD6"/>
    <w:rsid w:val="00470670"/>
    <w:rsid w:val="00472286"/>
    <w:rsid w:val="00475A47"/>
    <w:rsid w:val="00475D57"/>
    <w:rsid w:val="00483F69"/>
    <w:rsid w:val="00484536"/>
    <w:rsid w:val="00486585"/>
    <w:rsid w:val="00497289"/>
    <w:rsid w:val="004A06AE"/>
    <w:rsid w:val="004A510D"/>
    <w:rsid w:val="004B06E3"/>
    <w:rsid w:val="004B0D5A"/>
    <w:rsid w:val="004B35DC"/>
    <w:rsid w:val="004B5888"/>
    <w:rsid w:val="004B7C83"/>
    <w:rsid w:val="004C063A"/>
    <w:rsid w:val="004C0A3C"/>
    <w:rsid w:val="004C2A36"/>
    <w:rsid w:val="004C3663"/>
    <w:rsid w:val="004C57EC"/>
    <w:rsid w:val="004C674B"/>
    <w:rsid w:val="004C69F2"/>
    <w:rsid w:val="004D0C20"/>
    <w:rsid w:val="004D1461"/>
    <w:rsid w:val="004D3A71"/>
    <w:rsid w:val="004D3CE4"/>
    <w:rsid w:val="004D41F7"/>
    <w:rsid w:val="004D54B3"/>
    <w:rsid w:val="004D7E51"/>
    <w:rsid w:val="004E04EE"/>
    <w:rsid w:val="004E0550"/>
    <w:rsid w:val="004E170B"/>
    <w:rsid w:val="004E1B37"/>
    <w:rsid w:val="004E2704"/>
    <w:rsid w:val="004E4D01"/>
    <w:rsid w:val="004E4D51"/>
    <w:rsid w:val="004E5513"/>
    <w:rsid w:val="004F15A9"/>
    <w:rsid w:val="004F284B"/>
    <w:rsid w:val="004F705B"/>
    <w:rsid w:val="00500964"/>
    <w:rsid w:val="00500C66"/>
    <w:rsid w:val="00502601"/>
    <w:rsid w:val="0050308E"/>
    <w:rsid w:val="00505B94"/>
    <w:rsid w:val="005130EC"/>
    <w:rsid w:val="005146E6"/>
    <w:rsid w:val="00523E95"/>
    <w:rsid w:val="00525E74"/>
    <w:rsid w:val="00534040"/>
    <w:rsid w:val="00535A42"/>
    <w:rsid w:val="00536DEC"/>
    <w:rsid w:val="0053748E"/>
    <w:rsid w:val="00537BB6"/>
    <w:rsid w:val="005449C6"/>
    <w:rsid w:val="005619E8"/>
    <w:rsid w:val="00564AFD"/>
    <w:rsid w:val="00566B42"/>
    <w:rsid w:val="005703F7"/>
    <w:rsid w:val="005704F4"/>
    <w:rsid w:val="0057165C"/>
    <w:rsid w:val="005722C6"/>
    <w:rsid w:val="00580320"/>
    <w:rsid w:val="00580FF8"/>
    <w:rsid w:val="00582357"/>
    <w:rsid w:val="00582480"/>
    <w:rsid w:val="00585C8D"/>
    <w:rsid w:val="005862CC"/>
    <w:rsid w:val="005911FE"/>
    <w:rsid w:val="005916E3"/>
    <w:rsid w:val="00591D2A"/>
    <w:rsid w:val="0059312F"/>
    <w:rsid w:val="005934F2"/>
    <w:rsid w:val="00595758"/>
    <w:rsid w:val="00596081"/>
    <w:rsid w:val="0059629D"/>
    <w:rsid w:val="00597149"/>
    <w:rsid w:val="005A3943"/>
    <w:rsid w:val="005A51E6"/>
    <w:rsid w:val="005A632E"/>
    <w:rsid w:val="005A7243"/>
    <w:rsid w:val="005B3F88"/>
    <w:rsid w:val="005B6D61"/>
    <w:rsid w:val="005B730D"/>
    <w:rsid w:val="005B7418"/>
    <w:rsid w:val="005C03A9"/>
    <w:rsid w:val="005C1CAA"/>
    <w:rsid w:val="005C2BFC"/>
    <w:rsid w:val="005C324B"/>
    <w:rsid w:val="005C43E2"/>
    <w:rsid w:val="005C454A"/>
    <w:rsid w:val="005C4ABC"/>
    <w:rsid w:val="005C6663"/>
    <w:rsid w:val="005C74C9"/>
    <w:rsid w:val="005D1B14"/>
    <w:rsid w:val="005D257B"/>
    <w:rsid w:val="005E1D5C"/>
    <w:rsid w:val="005E25DC"/>
    <w:rsid w:val="005E4082"/>
    <w:rsid w:val="005E52AE"/>
    <w:rsid w:val="005E5607"/>
    <w:rsid w:val="005E567C"/>
    <w:rsid w:val="005F331C"/>
    <w:rsid w:val="005F505E"/>
    <w:rsid w:val="005F7B24"/>
    <w:rsid w:val="00600998"/>
    <w:rsid w:val="0060138A"/>
    <w:rsid w:val="00601B18"/>
    <w:rsid w:val="00602976"/>
    <w:rsid w:val="00602FE4"/>
    <w:rsid w:val="0060388D"/>
    <w:rsid w:val="00604231"/>
    <w:rsid w:val="00604417"/>
    <w:rsid w:val="006068F3"/>
    <w:rsid w:val="0060790C"/>
    <w:rsid w:val="00610C2F"/>
    <w:rsid w:val="0061156A"/>
    <w:rsid w:val="00614F5A"/>
    <w:rsid w:val="00615CFA"/>
    <w:rsid w:val="00620282"/>
    <w:rsid w:val="0062187C"/>
    <w:rsid w:val="0062292C"/>
    <w:rsid w:val="00625805"/>
    <w:rsid w:val="00626322"/>
    <w:rsid w:val="00627022"/>
    <w:rsid w:val="00627AC4"/>
    <w:rsid w:val="006304C7"/>
    <w:rsid w:val="0063253B"/>
    <w:rsid w:val="006363C8"/>
    <w:rsid w:val="00637AB8"/>
    <w:rsid w:val="0064370D"/>
    <w:rsid w:val="00643771"/>
    <w:rsid w:val="00644946"/>
    <w:rsid w:val="00646AB8"/>
    <w:rsid w:val="00647BD9"/>
    <w:rsid w:val="006513CD"/>
    <w:rsid w:val="00651B0E"/>
    <w:rsid w:val="006523C7"/>
    <w:rsid w:val="006534B2"/>
    <w:rsid w:val="00653712"/>
    <w:rsid w:val="00654A3E"/>
    <w:rsid w:val="00656213"/>
    <w:rsid w:val="006624A7"/>
    <w:rsid w:val="00665057"/>
    <w:rsid w:val="0066515F"/>
    <w:rsid w:val="006668AF"/>
    <w:rsid w:val="00671628"/>
    <w:rsid w:val="0067278C"/>
    <w:rsid w:val="006740C8"/>
    <w:rsid w:val="006757A0"/>
    <w:rsid w:val="006836AF"/>
    <w:rsid w:val="00686439"/>
    <w:rsid w:val="00695CBC"/>
    <w:rsid w:val="0069755E"/>
    <w:rsid w:val="006A54DD"/>
    <w:rsid w:val="006A6051"/>
    <w:rsid w:val="006B1823"/>
    <w:rsid w:val="006B2BF4"/>
    <w:rsid w:val="006B31D9"/>
    <w:rsid w:val="006C0102"/>
    <w:rsid w:val="006C07D4"/>
    <w:rsid w:val="006C41AD"/>
    <w:rsid w:val="006C5DE2"/>
    <w:rsid w:val="006C5E70"/>
    <w:rsid w:val="006C6E3D"/>
    <w:rsid w:val="006D04BD"/>
    <w:rsid w:val="006D306E"/>
    <w:rsid w:val="006D3D90"/>
    <w:rsid w:val="006D496A"/>
    <w:rsid w:val="006D5815"/>
    <w:rsid w:val="006D6644"/>
    <w:rsid w:val="006D7180"/>
    <w:rsid w:val="006E22F2"/>
    <w:rsid w:val="006E32B8"/>
    <w:rsid w:val="006E3994"/>
    <w:rsid w:val="006E433B"/>
    <w:rsid w:val="006E5878"/>
    <w:rsid w:val="006E593D"/>
    <w:rsid w:val="006E7899"/>
    <w:rsid w:val="006E7C2B"/>
    <w:rsid w:val="006E7C78"/>
    <w:rsid w:val="006F27F4"/>
    <w:rsid w:val="006F2E23"/>
    <w:rsid w:val="006F3B71"/>
    <w:rsid w:val="006F41FD"/>
    <w:rsid w:val="006F5A41"/>
    <w:rsid w:val="006F6546"/>
    <w:rsid w:val="006F69EC"/>
    <w:rsid w:val="006F7024"/>
    <w:rsid w:val="006F7786"/>
    <w:rsid w:val="00703A7C"/>
    <w:rsid w:val="00703ED5"/>
    <w:rsid w:val="007076DA"/>
    <w:rsid w:val="00707860"/>
    <w:rsid w:val="007101E5"/>
    <w:rsid w:val="0071025C"/>
    <w:rsid w:val="0071459F"/>
    <w:rsid w:val="007166F4"/>
    <w:rsid w:val="007207BF"/>
    <w:rsid w:val="00725CB0"/>
    <w:rsid w:val="007275D8"/>
    <w:rsid w:val="00730540"/>
    <w:rsid w:val="00730F72"/>
    <w:rsid w:val="0073317C"/>
    <w:rsid w:val="0073517D"/>
    <w:rsid w:val="00735F60"/>
    <w:rsid w:val="0073685C"/>
    <w:rsid w:val="00737EA5"/>
    <w:rsid w:val="007400AE"/>
    <w:rsid w:val="007403A0"/>
    <w:rsid w:val="00741F3E"/>
    <w:rsid w:val="00743AA8"/>
    <w:rsid w:val="00750840"/>
    <w:rsid w:val="00755247"/>
    <w:rsid w:val="00756F97"/>
    <w:rsid w:val="00757617"/>
    <w:rsid w:val="0076174F"/>
    <w:rsid w:val="00763AD8"/>
    <w:rsid w:val="00764FD0"/>
    <w:rsid w:val="00765016"/>
    <w:rsid w:val="0076704E"/>
    <w:rsid w:val="00767EDE"/>
    <w:rsid w:val="0077100C"/>
    <w:rsid w:val="0077144C"/>
    <w:rsid w:val="00776C39"/>
    <w:rsid w:val="00780FA2"/>
    <w:rsid w:val="00781D00"/>
    <w:rsid w:val="00785623"/>
    <w:rsid w:val="00785809"/>
    <w:rsid w:val="007900F3"/>
    <w:rsid w:val="0079033B"/>
    <w:rsid w:val="00791B69"/>
    <w:rsid w:val="00793074"/>
    <w:rsid w:val="007932A5"/>
    <w:rsid w:val="0079498E"/>
    <w:rsid w:val="00796CE2"/>
    <w:rsid w:val="00796F10"/>
    <w:rsid w:val="007A6138"/>
    <w:rsid w:val="007A6AB5"/>
    <w:rsid w:val="007B14D9"/>
    <w:rsid w:val="007B2A38"/>
    <w:rsid w:val="007B2B46"/>
    <w:rsid w:val="007B30F2"/>
    <w:rsid w:val="007B377F"/>
    <w:rsid w:val="007B408E"/>
    <w:rsid w:val="007B4274"/>
    <w:rsid w:val="007B5117"/>
    <w:rsid w:val="007B599D"/>
    <w:rsid w:val="007B6650"/>
    <w:rsid w:val="007B6A74"/>
    <w:rsid w:val="007C10F5"/>
    <w:rsid w:val="007C2DC8"/>
    <w:rsid w:val="007C626E"/>
    <w:rsid w:val="007C6766"/>
    <w:rsid w:val="007D097E"/>
    <w:rsid w:val="007D1C90"/>
    <w:rsid w:val="007D230B"/>
    <w:rsid w:val="007D2D80"/>
    <w:rsid w:val="007D3681"/>
    <w:rsid w:val="007D3824"/>
    <w:rsid w:val="007D49A1"/>
    <w:rsid w:val="007D59DD"/>
    <w:rsid w:val="007D5AD5"/>
    <w:rsid w:val="007E0A2F"/>
    <w:rsid w:val="007E1F66"/>
    <w:rsid w:val="007E2CB5"/>
    <w:rsid w:val="007E4C10"/>
    <w:rsid w:val="007E5FC8"/>
    <w:rsid w:val="007E6501"/>
    <w:rsid w:val="007E6C25"/>
    <w:rsid w:val="007F12EE"/>
    <w:rsid w:val="007F32D7"/>
    <w:rsid w:val="007F5E39"/>
    <w:rsid w:val="00801632"/>
    <w:rsid w:val="008031A9"/>
    <w:rsid w:val="0080520B"/>
    <w:rsid w:val="0080702C"/>
    <w:rsid w:val="00807B3E"/>
    <w:rsid w:val="00810180"/>
    <w:rsid w:val="00810D4A"/>
    <w:rsid w:val="00812F82"/>
    <w:rsid w:val="008131D8"/>
    <w:rsid w:val="008136DB"/>
    <w:rsid w:val="008146FD"/>
    <w:rsid w:val="00816AAB"/>
    <w:rsid w:val="00820402"/>
    <w:rsid w:val="00823517"/>
    <w:rsid w:val="008243B2"/>
    <w:rsid w:val="00824530"/>
    <w:rsid w:val="00824F08"/>
    <w:rsid w:val="008310DF"/>
    <w:rsid w:val="00831105"/>
    <w:rsid w:val="008318E0"/>
    <w:rsid w:val="0083366B"/>
    <w:rsid w:val="00834C97"/>
    <w:rsid w:val="0083507D"/>
    <w:rsid w:val="00835487"/>
    <w:rsid w:val="00837472"/>
    <w:rsid w:val="00844A4B"/>
    <w:rsid w:val="00847563"/>
    <w:rsid w:val="00847ECB"/>
    <w:rsid w:val="00851D28"/>
    <w:rsid w:val="00854676"/>
    <w:rsid w:val="008559B9"/>
    <w:rsid w:val="008560FF"/>
    <w:rsid w:val="00861B02"/>
    <w:rsid w:val="00865296"/>
    <w:rsid w:val="00865573"/>
    <w:rsid w:val="00865BF9"/>
    <w:rsid w:val="00867086"/>
    <w:rsid w:val="00874663"/>
    <w:rsid w:val="00875346"/>
    <w:rsid w:val="00876683"/>
    <w:rsid w:val="00876E5E"/>
    <w:rsid w:val="00881B95"/>
    <w:rsid w:val="008831CA"/>
    <w:rsid w:val="00884639"/>
    <w:rsid w:val="00890568"/>
    <w:rsid w:val="0089272A"/>
    <w:rsid w:val="0089340B"/>
    <w:rsid w:val="00894890"/>
    <w:rsid w:val="00897247"/>
    <w:rsid w:val="008B08F0"/>
    <w:rsid w:val="008B262C"/>
    <w:rsid w:val="008B6FC8"/>
    <w:rsid w:val="008B7F73"/>
    <w:rsid w:val="008C19E9"/>
    <w:rsid w:val="008C26E9"/>
    <w:rsid w:val="008C774E"/>
    <w:rsid w:val="008D1F4D"/>
    <w:rsid w:val="008D4652"/>
    <w:rsid w:val="008D6D9D"/>
    <w:rsid w:val="008F15F6"/>
    <w:rsid w:val="008F1691"/>
    <w:rsid w:val="008F22E2"/>
    <w:rsid w:val="008F5698"/>
    <w:rsid w:val="008F639E"/>
    <w:rsid w:val="008F785D"/>
    <w:rsid w:val="00901EF2"/>
    <w:rsid w:val="00903EB6"/>
    <w:rsid w:val="0090473E"/>
    <w:rsid w:val="00904906"/>
    <w:rsid w:val="009079D0"/>
    <w:rsid w:val="009103B6"/>
    <w:rsid w:val="00911534"/>
    <w:rsid w:val="00911F38"/>
    <w:rsid w:val="00913D0A"/>
    <w:rsid w:val="009148A1"/>
    <w:rsid w:val="009179BC"/>
    <w:rsid w:val="00920D26"/>
    <w:rsid w:val="00921E0F"/>
    <w:rsid w:val="00922BE1"/>
    <w:rsid w:val="00924972"/>
    <w:rsid w:val="00932E1E"/>
    <w:rsid w:val="0093304D"/>
    <w:rsid w:val="00934068"/>
    <w:rsid w:val="00937854"/>
    <w:rsid w:val="00940CE8"/>
    <w:rsid w:val="00944F10"/>
    <w:rsid w:val="009469E0"/>
    <w:rsid w:val="00951406"/>
    <w:rsid w:val="00951C4D"/>
    <w:rsid w:val="00952E03"/>
    <w:rsid w:val="00953A40"/>
    <w:rsid w:val="009547E2"/>
    <w:rsid w:val="00956488"/>
    <w:rsid w:val="00956F5F"/>
    <w:rsid w:val="009610DC"/>
    <w:rsid w:val="00967396"/>
    <w:rsid w:val="00970310"/>
    <w:rsid w:val="0097039A"/>
    <w:rsid w:val="0097154F"/>
    <w:rsid w:val="00974C18"/>
    <w:rsid w:val="0097709F"/>
    <w:rsid w:val="00980FA3"/>
    <w:rsid w:val="00981312"/>
    <w:rsid w:val="009818EF"/>
    <w:rsid w:val="00985996"/>
    <w:rsid w:val="00986978"/>
    <w:rsid w:val="00994771"/>
    <w:rsid w:val="00994F74"/>
    <w:rsid w:val="0099563A"/>
    <w:rsid w:val="009A13F4"/>
    <w:rsid w:val="009A44BE"/>
    <w:rsid w:val="009B029F"/>
    <w:rsid w:val="009B27F8"/>
    <w:rsid w:val="009B4A8B"/>
    <w:rsid w:val="009B74FB"/>
    <w:rsid w:val="009C021D"/>
    <w:rsid w:val="009C0660"/>
    <w:rsid w:val="009C2B6E"/>
    <w:rsid w:val="009C31A4"/>
    <w:rsid w:val="009C3D9D"/>
    <w:rsid w:val="009C4845"/>
    <w:rsid w:val="009C7314"/>
    <w:rsid w:val="009D174B"/>
    <w:rsid w:val="009D2442"/>
    <w:rsid w:val="009D5D9F"/>
    <w:rsid w:val="009D6685"/>
    <w:rsid w:val="009E0FA2"/>
    <w:rsid w:val="009E2244"/>
    <w:rsid w:val="009F5288"/>
    <w:rsid w:val="009F57FD"/>
    <w:rsid w:val="009F5A3B"/>
    <w:rsid w:val="009F7F08"/>
    <w:rsid w:val="009F7F9F"/>
    <w:rsid w:val="00A0106B"/>
    <w:rsid w:val="00A01145"/>
    <w:rsid w:val="00A015E8"/>
    <w:rsid w:val="00A01E02"/>
    <w:rsid w:val="00A02E26"/>
    <w:rsid w:val="00A05BA0"/>
    <w:rsid w:val="00A1430D"/>
    <w:rsid w:val="00A159C9"/>
    <w:rsid w:val="00A167FB"/>
    <w:rsid w:val="00A21B70"/>
    <w:rsid w:val="00A21D02"/>
    <w:rsid w:val="00A21DDB"/>
    <w:rsid w:val="00A23CF6"/>
    <w:rsid w:val="00A24882"/>
    <w:rsid w:val="00A24906"/>
    <w:rsid w:val="00A2690C"/>
    <w:rsid w:val="00A2792F"/>
    <w:rsid w:val="00A30970"/>
    <w:rsid w:val="00A315E4"/>
    <w:rsid w:val="00A31D96"/>
    <w:rsid w:val="00A31FEE"/>
    <w:rsid w:val="00A3283A"/>
    <w:rsid w:val="00A339E0"/>
    <w:rsid w:val="00A33C55"/>
    <w:rsid w:val="00A406C3"/>
    <w:rsid w:val="00A42875"/>
    <w:rsid w:val="00A44DC1"/>
    <w:rsid w:val="00A464B5"/>
    <w:rsid w:val="00A47A98"/>
    <w:rsid w:val="00A47EE7"/>
    <w:rsid w:val="00A50B43"/>
    <w:rsid w:val="00A50E60"/>
    <w:rsid w:val="00A51661"/>
    <w:rsid w:val="00A51C87"/>
    <w:rsid w:val="00A53276"/>
    <w:rsid w:val="00A54197"/>
    <w:rsid w:val="00A572E4"/>
    <w:rsid w:val="00A61821"/>
    <w:rsid w:val="00A61B2F"/>
    <w:rsid w:val="00A61E3A"/>
    <w:rsid w:val="00A631BA"/>
    <w:rsid w:val="00A67CA5"/>
    <w:rsid w:val="00A71797"/>
    <w:rsid w:val="00A723C1"/>
    <w:rsid w:val="00A73315"/>
    <w:rsid w:val="00A733CE"/>
    <w:rsid w:val="00A73BE1"/>
    <w:rsid w:val="00A75CCD"/>
    <w:rsid w:val="00A80506"/>
    <w:rsid w:val="00A806AE"/>
    <w:rsid w:val="00A8118F"/>
    <w:rsid w:val="00A83022"/>
    <w:rsid w:val="00A83458"/>
    <w:rsid w:val="00A86235"/>
    <w:rsid w:val="00A86C41"/>
    <w:rsid w:val="00A90148"/>
    <w:rsid w:val="00A917F8"/>
    <w:rsid w:val="00A95D0C"/>
    <w:rsid w:val="00A96E43"/>
    <w:rsid w:val="00AA0D8C"/>
    <w:rsid w:val="00AA2427"/>
    <w:rsid w:val="00AA25BC"/>
    <w:rsid w:val="00AA3077"/>
    <w:rsid w:val="00AA46AF"/>
    <w:rsid w:val="00AA5AE7"/>
    <w:rsid w:val="00AB044F"/>
    <w:rsid w:val="00AB4E9E"/>
    <w:rsid w:val="00AB6C99"/>
    <w:rsid w:val="00AC0730"/>
    <w:rsid w:val="00AC11D5"/>
    <w:rsid w:val="00AC15E5"/>
    <w:rsid w:val="00AC22BB"/>
    <w:rsid w:val="00AC4080"/>
    <w:rsid w:val="00AC4758"/>
    <w:rsid w:val="00AC4C4A"/>
    <w:rsid w:val="00AC5A6D"/>
    <w:rsid w:val="00AC5D73"/>
    <w:rsid w:val="00AC73AD"/>
    <w:rsid w:val="00AD12B2"/>
    <w:rsid w:val="00AD60EA"/>
    <w:rsid w:val="00AD705A"/>
    <w:rsid w:val="00AD78F9"/>
    <w:rsid w:val="00AE008D"/>
    <w:rsid w:val="00AE196B"/>
    <w:rsid w:val="00AE30E0"/>
    <w:rsid w:val="00AE346F"/>
    <w:rsid w:val="00AE3AD5"/>
    <w:rsid w:val="00AE4060"/>
    <w:rsid w:val="00AE5B3E"/>
    <w:rsid w:val="00AF0162"/>
    <w:rsid w:val="00AF2329"/>
    <w:rsid w:val="00AF3660"/>
    <w:rsid w:val="00AF550D"/>
    <w:rsid w:val="00AF7A20"/>
    <w:rsid w:val="00B00200"/>
    <w:rsid w:val="00B01312"/>
    <w:rsid w:val="00B02D98"/>
    <w:rsid w:val="00B04730"/>
    <w:rsid w:val="00B06C1A"/>
    <w:rsid w:val="00B11438"/>
    <w:rsid w:val="00B14D4C"/>
    <w:rsid w:val="00B15D2B"/>
    <w:rsid w:val="00B15D2F"/>
    <w:rsid w:val="00B16399"/>
    <w:rsid w:val="00B1760F"/>
    <w:rsid w:val="00B20B50"/>
    <w:rsid w:val="00B21EE7"/>
    <w:rsid w:val="00B2586D"/>
    <w:rsid w:val="00B25AE4"/>
    <w:rsid w:val="00B26909"/>
    <w:rsid w:val="00B27664"/>
    <w:rsid w:val="00B31169"/>
    <w:rsid w:val="00B31828"/>
    <w:rsid w:val="00B337BA"/>
    <w:rsid w:val="00B35053"/>
    <w:rsid w:val="00B401B6"/>
    <w:rsid w:val="00B40B5B"/>
    <w:rsid w:val="00B425AD"/>
    <w:rsid w:val="00B42BEE"/>
    <w:rsid w:val="00B44B08"/>
    <w:rsid w:val="00B452B7"/>
    <w:rsid w:val="00B458E3"/>
    <w:rsid w:val="00B4627A"/>
    <w:rsid w:val="00B518FF"/>
    <w:rsid w:val="00B54F17"/>
    <w:rsid w:val="00B561EE"/>
    <w:rsid w:val="00B5659A"/>
    <w:rsid w:val="00B57D47"/>
    <w:rsid w:val="00B6210E"/>
    <w:rsid w:val="00B632E3"/>
    <w:rsid w:val="00B6377A"/>
    <w:rsid w:val="00B64DC8"/>
    <w:rsid w:val="00B65399"/>
    <w:rsid w:val="00B67371"/>
    <w:rsid w:val="00B70688"/>
    <w:rsid w:val="00B77091"/>
    <w:rsid w:val="00B82BE0"/>
    <w:rsid w:val="00B837C1"/>
    <w:rsid w:val="00B841E0"/>
    <w:rsid w:val="00B853CA"/>
    <w:rsid w:val="00B860BA"/>
    <w:rsid w:val="00B865F5"/>
    <w:rsid w:val="00B870A0"/>
    <w:rsid w:val="00B91DFE"/>
    <w:rsid w:val="00B966E9"/>
    <w:rsid w:val="00B96ABC"/>
    <w:rsid w:val="00B96BC7"/>
    <w:rsid w:val="00B97229"/>
    <w:rsid w:val="00BA08A3"/>
    <w:rsid w:val="00BA3976"/>
    <w:rsid w:val="00BA5AB3"/>
    <w:rsid w:val="00BA77AA"/>
    <w:rsid w:val="00BB21D8"/>
    <w:rsid w:val="00BB227E"/>
    <w:rsid w:val="00BB357B"/>
    <w:rsid w:val="00BB7E3D"/>
    <w:rsid w:val="00BC0300"/>
    <w:rsid w:val="00BC31F5"/>
    <w:rsid w:val="00BC3CD1"/>
    <w:rsid w:val="00BC4F93"/>
    <w:rsid w:val="00BC5EC6"/>
    <w:rsid w:val="00BC5F0E"/>
    <w:rsid w:val="00BC6DCE"/>
    <w:rsid w:val="00BD2211"/>
    <w:rsid w:val="00BD221D"/>
    <w:rsid w:val="00BD2547"/>
    <w:rsid w:val="00BD3E65"/>
    <w:rsid w:val="00BD5934"/>
    <w:rsid w:val="00BD69DA"/>
    <w:rsid w:val="00BD7785"/>
    <w:rsid w:val="00BE0789"/>
    <w:rsid w:val="00BE3B2E"/>
    <w:rsid w:val="00BE4073"/>
    <w:rsid w:val="00BE41E5"/>
    <w:rsid w:val="00BE4E8D"/>
    <w:rsid w:val="00BE6116"/>
    <w:rsid w:val="00BF1799"/>
    <w:rsid w:val="00BF1CBD"/>
    <w:rsid w:val="00BF3C37"/>
    <w:rsid w:val="00BF52C4"/>
    <w:rsid w:val="00C006BE"/>
    <w:rsid w:val="00C03602"/>
    <w:rsid w:val="00C053DF"/>
    <w:rsid w:val="00C05B8E"/>
    <w:rsid w:val="00C07366"/>
    <w:rsid w:val="00C1063D"/>
    <w:rsid w:val="00C10DEE"/>
    <w:rsid w:val="00C11056"/>
    <w:rsid w:val="00C115A7"/>
    <w:rsid w:val="00C1283B"/>
    <w:rsid w:val="00C13B6B"/>
    <w:rsid w:val="00C15E0E"/>
    <w:rsid w:val="00C23FB5"/>
    <w:rsid w:val="00C24A1A"/>
    <w:rsid w:val="00C31C72"/>
    <w:rsid w:val="00C33100"/>
    <w:rsid w:val="00C331BB"/>
    <w:rsid w:val="00C35BE9"/>
    <w:rsid w:val="00C36606"/>
    <w:rsid w:val="00C41A08"/>
    <w:rsid w:val="00C422B9"/>
    <w:rsid w:val="00C4241E"/>
    <w:rsid w:val="00C426FE"/>
    <w:rsid w:val="00C432C1"/>
    <w:rsid w:val="00C50EFE"/>
    <w:rsid w:val="00C51153"/>
    <w:rsid w:val="00C54FBB"/>
    <w:rsid w:val="00C561B9"/>
    <w:rsid w:val="00C56717"/>
    <w:rsid w:val="00C613E7"/>
    <w:rsid w:val="00C615A3"/>
    <w:rsid w:val="00C6198D"/>
    <w:rsid w:val="00C635DA"/>
    <w:rsid w:val="00C639E7"/>
    <w:rsid w:val="00C659BE"/>
    <w:rsid w:val="00C72D2D"/>
    <w:rsid w:val="00C80300"/>
    <w:rsid w:val="00C81220"/>
    <w:rsid w:val="00C82307"/>
    <w:rsid w:val="00C8613B"/>
    <w:rsid w:val="00C9078E"/>
    <w:rsid w:val="00C92622"/>
    <w:rsid w:val="00C92EFF"/>
    <w:rsid w:val="00C97228"/>
    <w:rsid w:val="00C9780D"/>
    <w:rsid w:val="00CA02DA"/>
    <w:rsid w:val="00CA1A54"/>
    <w:rsid w:val="00CA41F1"/>
    <w:rsid w:val="00CC120B"/>
    <w:rsid w:val="00CC4457"/>
    <w:rsid w:val="00CC46B2"/>
    <w:rsid w:val="00CC5718"/>
    <w:rsid w:val="00CD11B7"/>
    <w:rsid w:val="00CD1352"/>
    <w:rsid w:val="00CD1CBE"/>
    <w:rsid w:val="00CD1E3E"/>
    <w:rsid w:val="00CD32E2"/>
    <w:rsid w:val="00CD4B0B"/>
    <w:rsid w:val="00CD6698"/>
    <w:rsid w:val="00CD793F"/>
    <w:rsid w:val="00CE1E5B"/>
    <w:rsid w:val="00CE3A2F"/>
    <w:rsid w:val="00CE6336"/>
    <w:rsid w:val="00CF1804"/>
    <w:rsid w:val="00CF1D92"/>
    <w:rsid w:val="00CF5D91"/>
    <w:rsid w:val="00D0025C"/>
    <w:rsid w:val="00D004FB"/>
    <w:rsid w:val="00D02BBC"/>
    <w:rsid w:val="00D02C36"/>
    <w:rsid w:val="00D0323D"/>
    <w:rsid w:val="00D03583"/>
    <w:rsid w:val="00D12172"/>
    <w:rsid w:val="00D124E1"/>
    <w:rsid w:val="00D12B8C"/>
    <w:rsid w:val="00D12F07"/>
    <w:rsid w:val="00D13215"/>
    <w:rsid w:val="00D15175"/>
    <w:rsid w:val="00D200F6"/>
    <w:rsid w:val="00D21646"/>
    <w:rsid w:val="00D26418"/>
    <w:rsid w:val="00D31C65"/>
    <w:rsid w:val="00D36A3A"/>
    <w:rsid w:val="00D454F2"/>
    <w:rsid w:val="00D46F82"/>
    <w:rsid w:val="00D47CE9"/>
    <w:rsid w:val="00D50CE5"/>
    <w:rsid w:val="00D52102"/>
    <w:rsid w:val="00D5262E"/>
    <w:rsid w:val="00D52995"/>
    <w:rsid w:val="00D537A1"/>
    <w:rsid w:val="00D659CF"/>
    <w:rsid w:val="00D67085"/>
    <w:rsid w:val="00D700BF"/>
    <w:rsid w:val="00D72024"/>
    <w:rsid w:val="00D72ADE"/>
    <w:rsid w:val="00D73198"/>
    <w:rsid w:val="00D75233"/>
    <w:rsid w:val="00D77228"/>
    <w:rsid w:val="00D7728F"/>
    <w:rsid w:val="00D77696"/>
    <w:rsid w:val="00D81CC4"/>
    <w:rsid w:val="00D83AA0"/>
    <w:rsid w:val="00D8458F"/>
    <w:rsid w:val="00D9224D"/>
    <w:rsid w:val="00D96574"/>
    <w:rsid w:val="00D9765E"/>
    <w:rsid w:val="00DA4591"/>
    <w:rsid w:val="00DA5D89"/>
    <w:rsid w:val="00DA6430"/>
    <w:rsid w:val="00DB63DB"/>
    <w:rsid w:val="00DB6E2E"/>
    <w:rsid w:val="00DB7824"/>
    <w:rsid w:val="00DB79BE"/>
    <w:rsid w:val="00DC308E"/>
    <w:rsid w:val="00DC43D9"/>
    <w:rsid w:val="00DC65E4"/>
    <w:rsid w:val="00DC7F73"/>
    <w:rsid w:val="00DE191A"/>
    <w:rsid w:val="00DE1A0F"/>
    <w:rsid w:val="00DE3123"/>
    <w:rsid w:val="00DE339F"/>
    <w:rsid w:val="00DE6324"/>
    <w:rsid w:val="00DF1535"/>
    <w:rsid w:val="00DF2680"/>
    <w:rsid w:val="00DF53F5"/>
    <w:rsid w:val="00DF61B2"/>
    <w:rsid w:val="00DF61FD"/>
    <w:rsid w:val="00DF6D25"/>
    <w:rsid w:val="00E03C6D"/>
    <w:rsid w:val="00E03CD7"/>
    <w:rsid w:val="00E11EE3"/>
    <w:rsid w:val="00E135F9"/>
    <w:rsid w:val="00E14349"/>
    <w:rsid w:val="00E20C28"/>
    <w:rsid w:val="00E22A77"/>
    <w:rsid w:val="00E22E84"/>
    <w:rsid w:val="00E24B18"/>
    <w:rsid w:val="00E26F76"/>
    <w:rsid w:val="00E3016C"/>
    <w:rsid w:val="00E3059B"/>
    <w:rsid w:val="00E318B1"/>
    <w:rsid w:val="00E348BC"/>
    <w:rsid w:val="00E35947"/>
    <w:rsid w:val="00E41015"/>
    <w:rsid w:val="00E4307D"/>
    <w:rsid w:val="00E4318F"/>
    <w:rsid w:val="00E4392E"/>
    <w:rsid w:val="00E44E5D"/>
    <w:rsid w:val="00E506C3"/>
    <w:rsid w:val="00E54395"/>
    <w:rsid w:val="00E54741"/>
    <w:rsid w:val="00E568E5"/>
    <w:rsid w:val="00E57B13"/>
    <w:rsid w:val="00E6453F"/>
    <w:rsid w:val="00E657E9"/>
    <w:rsid w:val="00E659EF"/>
    <w:rsid w:val="00E67565"/>
    <w:rsid w:val="00E67F6D"/>
    <w:rsid w:val="00E70CBD"/>
    <w:rsid w:val="00E71009"/>
    <w:rsid w:val="00E717E8"/>
    <w:rsid w:val="00E72BAF"/>
    <w:rsid w:val="00E730CF"/>
    <w:rsid w:val="00E73D81"/>
    <w:rsid w:val="00E74730"/>
    <w:rsid w:val="00E754F4"/>
    <w:rsid w:val="00E75ED7"/>
    <w:rsid w:val="00E83CD2"/>
    <w:rsid w:val="00E851E6"/>
    <w:rsid w:val="00E870AD"/>
    <w:rsid w:val="00E93B25"/>
    <w:rsid w:val="00E959BF"/>
    <w:rsid w:val="00EA057C"/>
    <w:rsid w:val="00EA2D3D"/>
    <w:rsid w:val="00EA3C5A"/>
    <w:rsid w:val="00EA5B84"/>
    <w:rsid w:val="00EA76AD"/>
    <w:rsid w:val="00EA77DF"/>
    <w:rsid w:val="00EB0773"/>
    <w:rsid w:val="00EB20F9"/>
    <w:rsid w:val="00EB24EB"/>
    <w:rsid w:val="00EB34AF"/>
    <w:rsid w:val="00EB45A3"/>
    <w:rsid w:val="00EB744C"/>
    <w:rsid w:val="00ED06CC"/>
    <w:rsid w:val="00ED17C2"/>
    <w:rsid w:val="00ED2C8E"/>
    <w:rsid w:val="00ED379E"/>
    <w:rsid w:val="00ED4F0C"/>
    <w:rsid w:val="00ED655D"/>
    <w:rsid w:val="00ED7680"/>
    <w:rsid w:val="00EE0424"/>
    <w:rsid w:val="00EE0D47"/>
    <w:rsid w:val="00EE1EA2"/>
    <w:rsid w:val="00EE4C05"/>
    <w:rsid w:val="00EE5358"/>
    <w:rsid w:val="00EE6C93"/>
    <w:rsid w:val="00EF71E9"/>
    <w:rsid w:val="00F006D2"/>
    <w:rsid w:val="00F00BD1"/>
    <w:rsid w:val="00F01FD9"/>
    <w:rsid w:val="00F0359F"/>
    <w:rsid w:val="00F04320"/>
    <w:rsid w:val="00F04B07"/>
    <w:rsid w:val="00F05BA8"/>
    <w:rsid w:val="00F16F13"/>
    <w:rsid w:val="00F21411"/>
    <w:rsid w:val="00F224CE"/>
    <w:rsid w:val="00F23E9A"/>
    <w:rsid w:val="00F242D9"/>
    <w:rsid w:val="00F30381"/>
    <w:rsid w:val="00F3099A"/>
    <w:rsid w:val="00F31293"/>
    <w:rsid w:val="00F3715D"/>
    <w:rsid w:val="00F40AA8"/>
    <w:rsid w:val="00F436B0"/>
    <w:rsid w:val="00F44B62"/>
    <w:rsid w:val="00F5072C"/>
    <w:rsid w:val="00F51CBF"/>
    <w:rsid w:val="00F537F9"/>
    <w:rsid w:val="00F5411D"/>
    <w:rsid w:val="00F56B0C"/>
    <w:rsid w:val="00F56D2B"/>
    <w:rsid w:val="00F57D2D"/>
    <w:rsid w:val="00F606D8"/>
    <w:rsid w:val="00F62A49"/>
    <w:rsid w:val="00F64F0D"/>
    <w:rsid w:val="00F65BBE"/>
    <w:rsid w:val="00F7005B"/>
    <w:rsid w:val="00F7026A"/>
    <w:rsid w:val="00F71826"/>
    <w:rsid w:val="00F72B45"/>
    <w:rsid w:val="00F73561"/>
    <w:rsid w:val="00F73B00"/>
    <w:rsid w:val="00F844A3"/>
    <w:rsid w:val="00F84737"/>
    <w:rsid w:val="00F864E6"/>
    <w:rsid w:val="00F87B69"/>
    <w:rsid w:val="00F90C95"/>
    <w:rsid w:val="00F9103E"/>
    <w:rsid w:val="00F95923"/>
    <w:rsid w:val="00F96A39"/>
    <w:rsid w:val="00F96F96"/>
    <w:rsid w:val="00F97463"/>
    <w:rsid w:val="00FA42CB"/>
    <w:rsid w:val="00FA4DC6"/>
    <w:rsid w:val="00FA5D99"/>
    <w:rsid w:val="00FA768E"/>
    <w:rsid w:val="00FB030E"/>
    <w:rsid w:val="00FB571F"/>
    <w:rsid w:val="00FC42BA"/>
    <w:rsid w:val="00FC6166"/>
    <w:rsid w:val="00FC6233"/>
    <w:rsid w:val="00FC73B5"/>
    <w:rsid w:val="00FD08C1"/>
    <w:rsid w:val="00FD0F3F"/>
    <w:rsid w:val="00FD2C54"/>
    <w:rsid w:val="00FD7A7A"/>
    <w:rsid w:val="00FE10C1"/>
    <w:rsid w:val="00FE190E"/>
    <w:rsid w:val="00FE1DFB"/>
    <w:rsid w:val="00FE20A9"/>
    <w:rsid w:val="00FE48A9"/>
    <w:rsid w:val="00FE7BF3"/>
    <w:rsid w:val="00FF08B7"/>
    <w:rsid w:val="00FF12B8"/>
    <w:rsid w:val="00FF3564"/>
    <w:rsid w:val="00FF42AD"/>
    <w:rsid w:val="00FF521D"/>
    <w:rsid w:val="213909E0"/>
    <w:rsid w:val="58445BA4"/>
    <w:rsid w:val="7FB13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D13215"/>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8560FF"/>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8560FF"/>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834C97"/>
    <w:pPr>
      <w:keepNext/>
      <w:keepLines/>
      <w:spacing w:line="360" w:lineRule="exact"/>
      <w:jc w:val="center"/>
      <w:outlineLvl w:val="1"/>
    </w:pPr>
    <w:rPr>
      <w:rFonts w:eastAsiaTheme="majorEastAsia" w:cstheme="majorBidi"/>
      <w:caps/>
      <w:color w:val="FFFFFF" w:themeColor="background1"/>
      <w:spacing w:val="60"/>
      <w:sz w:val="32"/>
      <w:szCs w:val="28"/>
    </w:rPr>
  </w:style>
  <w:style w:type="character" w:customStyle="1" w:styleId="eTRMHeading2Char">
    <w:name w:val="eTRM Heading 2 Char"/>
    <w:basedOn w:val="DefaultParagraphFont"/>
    <w:link w:val="eTRMHeading2"/>
    <w:rsid w:val="00834C97"/>
    <w:rPr>
      <w:rFonts w:ascii="Calibri Light" w:eastAsiaTheme="majorEastAsia" w:hAnsi="Calibri Light" w:cstheme="majorBidi"/>
      <w:caps/>
      <w:color w:val="FFFFFF" w:themeColor="background1"/>
      <w:spacing w:val="60"/>
      <w:sz w:val="32"/>
      <w:szCs w:val="28"/>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953A40"/>
    <w:pPr>
      <w:spacing w:before="20" w:after="20"/>
    </w:pPr>
  </w:style>
  <w:style w:type="character" w:customStyle="1" w:styleId="eTRMFootnoteTextChar">
    <w:name w:val="eTRM Footnote Text Char"/>
    <w:basedOn w:val="FootnoteTextChar"/>
    <w:link w:val="eTRMFootnoteText"/>
    <w:rsid w:val="00953A40"/>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PR1"/>
    <w:rsid w:val="00AE196B"/>
    <w:pPr>
      <w:numPr>
        <w:ilvl w:val="1"/>
        <w:numId w:val="12"/>
      </w:numPr>
      <w:suppressAutoHyphens/>
      <w:spacing w:before="240" w:after="0" w:line="240" w:lineRule="auto"/>
      <w:outlineLvl w:val="1"/>
    </w:pPr>
    <w:rPr>
      <w:rFonts w:ascii="Arial" w:hAnsi="Arial" w:cs="Times New Roman"/>
      <w:b/>
      <w:caps/>
      <w:szCs w:val="22"/>
    </w:rPr>
  </w:style>
  <w:style w:type="paragraph" w:customStyle="1" w:styleId="PR1">
    <w:name w:val="PR1"/>
    <w:basedOn w:val="ART"/>
    <w:rsid w:val="00AE196B"/>
    <w:pPr>
      <w:numPr>
        <w:ilvl w:val="2"/>
      </w:numPr>
      <w:outlineLvl w:val="2"/>
    </w:pPr>
    <w:rPr>
      <w:b w:val="0"/>
      <w:caps w:val="0"/>
    </w:rPr>
  </w:style>
  <w:style w:type="paragraph" w:customStyle="1" w:styleId="PR2">
    <w:name w:val="PR2"/>
    <w:basedOn w:val="PR1"/>
    <w:rsid w:val="00AE196B"/>
    <w:pPr>
      <w:numPr>
        <w:ilvl w:val="3"/>
      </w:numPr>
      <w:spacing w:before="0"/>
      <w:outlineLvl w:val="3"/>
    </w:pPr>
  </w:style>
  <w:style w:type="paragraph" w:customStyle="1" w:styleId="PR3">
    <w:name w:val="PR3"/>
    <w:basedOn w:val="PR1"/>
    <w:rsid w:val="00AE196B"/>
    <w:pPr>
      <w:numPr>
        <w:ilvl w:val="4"/>
      </w:numPr>
      <w:spacing w:before="0"/>
      <w:outlineLvl w:val="4"/>
    </w:pPr>
  </w:style>
  <w:style w:type="paragraph" w:customStyle="1" w:styleId="PR4">
    <w:name w:val="PR4"/>
    <w:basedOn w:val="PR1"/>
    <w:rsid w:val="00AE196B"/>
    <w:pPr>
      <w:numPr>
        <w:ilvl w:val="5"/>
      </w:numPr>
      <w:tabs>
        <w:tab w:val="left" w:pos="2448"/>
      </w:tabs>
      <w:spacing w:before="0"/>
      <w:outlineLvl w:val="5"/>
    </w:pPr>
  </w:style>
  <w:style w:type="paragraph" w:customStyle="1" w:styleId="PR5">
    <w:name w:val="PR5"/>
    <w:basedOn w:val="PR1"/>
    <w:rsid w:val="00AE196B"/>
    <w:pPr>
      <w:numPr>
        <w:ilvl w:val="6"/>
      </w:numPr>
      <w:spacing w:before="0"/>
      <w:outlineLvl w:val="6"/>
    </w:pPr>
  </w:style>
  <w:style w:type="paragraph" w:customStyle="1" w:styleId="PR6">
    <w:name w:val="PR6"/>
    <w:basedOn w:val="PR1"/>
    <w:rsid w:val="00AE196B"/>
    <w:pPr>
      <w:numPr>
        <w:ilvl w:val="7"/>
      </w:numPr>
      <w:tabs>
        <w:tab w:val="left" w:pos="3744"/>
      </w:tabs>
      <w:spacing w:before="0"/>
      <w:outlineLvl w:val="7"/>
    </w:pPr>
  </w:style>
  <w:style w:type="paragraph" w:customStyle="1" w:styleId="PR7">
    <w:name w:val="PR7"/>
    <w:basedOn w:val="PR6"/>
    <w:rsid w:val="00AE196B"/>
    <w:pPr>
      <w:numPr>
        <w:ilvl w:val="8"/>
      </w:numPr>
      <w:tabs>
        <w:tab w:val="left" w:pos="4464"/>
      </w:tabs>
    </w:pPr>
  </w:style>
  <w:style w:type="paragraph" w:customStyle="1" w:styleId="WPSCT">
    <w:name w:val="WPSCT"/>
    <w:basedOn w:val="Normal"/>
    <w:next w:val="ART"/>
    <w:qFormat/>
    <w:rsid w:val="00AE196B"/>
    <w:pPr>
      <w:numPr>
        <w:numId w:val="12"/>
      </w:numPr>
      <w:suppressAutoHyphens/>
      <w:spacing w:before="240" w:after="0" w:line="240" w:lineRule="auto"/>
      <w:outlineLvl w:val="0"/>
    </w:pPr>
    <w:rPr>
      <w:rFonts w:ascii="Arial" w:hAnsi="Arial" w:cs="Times New Roman"/>
      <w:b/>
      <w:caps/>
      <w:szCs w:val="22"/>
    </w:rPr>
  </w:style>
  <w:style w:type="paragraph" w:customStyle="1" w:styleId="TBL">
    <w:name w:val="TBL"/>
    <w:link w:val="TBLChar"/>
    <w:qFormat/>
    <w:rsid w:val="00C561B9"/>
    <w:pPr>
      <w:spacing w:before="120" w:after="120"/>
      <w:jc w:val="center"/>
    </w:pPr>
    <w:rPr>
      <w:rFonts w:ascii="Arial" w:hAnsi="Arial" w:cs="Times New Roman"/>
      <w:b/>
      <w:sz w:val="22"/>
      <w:szCs w:val="22"/>
    </w:rPr>
  </w:style>
  <w:style w:type="character" w:styleId="Emphasis">
    <w:name w:val="Emphasis"/>
    <w:basedOn w:val="TBLChar"/>
    <w:uiPriority w:val="20"/>
    <w:qFormat/>
    <w:rsid w:val="00C561B9"/>
    <w:rPr>
      <w:rFonts w:asciiTheme="minorHAnsi" w:hAnsiTheme="minorHAnsi" w:cs="Times New Roman"/>
      <w:b w:val="0"/>
      <w:i/>
      <w:iCs/>
      <w:sz w:val="22"/>
      <w:szCs w:val="22"/>
    </w:rPr>
  </w:style>
  <w:style w:type="character" w:customStyle="1" w:styleId="TBLChar">
    <w:name w:val="TBL Char"/>
    <w:basedOn w:val="DefaultParagraphFont"/>
    <w:link w:val="TBL"/>
    <w:rsid w:val="00C561B9"/>
    <w:rPr>
      <w:rFonts w:ascii="Arial" w:hAnsi="Arial" w:cs="Times New Roman"/>
      <w:b/>
      <w:sz w:val="22"/>
      <w:szCs w:val="22"/>
    </w:rPr>
  </w:style>
  <w:style w:type="character" w:customStyle="1" w:styleId="RemindersChar">
    <w:name w:val="Reminders Char"/>
    <w:basedOn w:val="DefaultParagraphFont"/>
    <w:link w:val="Reminders"/>
    <w:locked/>
    <w:rsid w:val="002F6C05"/>
    <w:rPr>
      <w:rFonts w:ascii="Trebuchet MS" w:eastAsia="Times New Roman" w:hAnsi="Trebuchet MS" w:cs="Times New Roman"/>
      <w:i/>
      <w:color w:val="FF0000"/>
    </w:rPr>
  </w:style>
  <w:style w:type="paragraph" w:customStyle="1" w:styleId="Reminders">
    <w:name w:val="Reminders"/>
    <w:basedOn w:val="Normal"/>
    <w:link w:val="RemindersChar"/>
    <w:rsid w:val="002F6C05"/>
    <w:pPr>
      <w:spacing w:before="40" w:after="40" w:line="240" w:lineRule="auto"/>
    </w:pPr>
    <w:rPr>
      <w:rFonts w:ascii="Trebuchet MS" w:eastAsia="Times New Roman" w:hAnsi="Trebuchet MS" w:cs="Times New Roman"/>
      <w:i/>
      <w:color w:val="FF0000"/>
      <w:sz w:val="24"/>
    </w:rPr>
  </w:style>
  <w:style w:type="paragraph" w:customStyle="1" w:styleId="p1">
    <w:name w:val="p1"/>
    <w:basedOn w:val="Normal"/>
    <w:rsid w:val="008D1F4D"/>
    <w:pPr>
      <w:spacing w:before="0" w:after="0" w:line="240" w:lineRule="auto"/>
    </w:pPr>
    <w:rPr>
      <w:rFonts w:ascii="Arial" w:hAnsi="Arial" w:cs="Arial"/>
      <w:sz w:val="18"/>
      <w:szCs w:val="18"/>
    </w:rPr>
  </w:style>
  <w:style w:type="paragraph" w:customStyle="1" w:styleId="p2">
    <w:name w:val="p2"/>
    <w:basedOn w:val="Normal"/>
    <w:rsid w:val="008D1F4D"/>
    <w:pPr>
      <w:spacing w:before="0" w:after="0" w:line="240" w:lineRule="auto"/>
    </w:pPr>
    <w:rPr>
      <w:rFonts w:ascii="Arial" w:hAnsi="Arial" w:cs="Arial"/>
      <w:sz w:val="17"/>
      <w:szCs w:val="17"/>
    </w:rPr>
  </w:style>
  <w:style w:type="character" w:customStyle="1" w:styleId="apple-converted-space">
    <w:name w:val="apple-converted-space"/>
    <w:basedOn w:val="DefaultParagraphFont"/>
    <w:rsid w:val="008D1F4D"/>
  </w:style>
  <w:style w:type="character" w:styleId="PlaceholderText">
    <w:name w:val="Placeholder Text"/>
    <w:basedOn w:val="DefaultParagraphFont"/>
    <w:uiPriority w:val="99"/>
    <w:semiHidden/>
    <w:rsid w:val="00502601"/>
    <w:rPr>
      <w:color w:val="808080"/>
    </w:rPr>
  </w:style>
  <w:style w:type="paragraph" w:customStyle="1" w:styleId="TableParagraph">
    <w:name w:val="Table Paragraph"/>
    <w:basedOn w:val="Normal"/>
    <w:uiPriority w:val="1"/>
    <w:qFormat/>
    <w:rsid w:val="000D6227"/>
    <w:pPr>
      <w:widowControl w:val="0"/>
      <w:autoSpaceDE w:val="0"/>
      <w:autoSpaceDN w:val="0"/>
      <w:spacing w:before="0" w:after="0" w:line="240" w:lineRule="auto"/>
    </w:pPr>
    <w:rPr>
      <w:rFonts w:eastAsia="Calibri Light" w:cs="Calibri Light"/>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6789">
      <w:bodyDiv w:val="1"/>
      <w:marLeft w:val="0"/>
      <w:marRight w:val="0"/>
      <w:marTop w:val="0"/>
      <w:marBottom w:val="0"/>
      <w:divBdr>
        <w:top w:val="none" w:sz="0" w:space="0" w:color="auto"/>
        <w:left w:val="none" w:sz="0" w:space="0" w:color="auto"/>
        <w:bottom w:val="none" w:sz="0" w:space="0" w:color="auto"/>
        <w:right w:val="none" w:sz="0" w:space="0" w:color="auto"/>
      </w:divBdr>
    </w:div>
    <w:div w:id="148324758">
      <w:bodyDiv w:val="1"/>
      <w:marLeft w:val="0"/>
      <w:marRight w:val="0"/>
      <w:marTop w:val="0"/>
      <w:marBottom w:val="0"/>
      <w:divBdr>
        <w:top w:val="none" w:sz="0" w:space="0" w:color="auto"/>
        <w:left w:val="none" w:sz="0" w:space="0" w:color="auto"/>
        <w:bottom w:val="none" w:sz="0" w:space="0" w:color="auto"/>
        <w:right w:val="none" w:sz="0" w:space="0" w:color="auto"/>
      </w:divBdr>
    </w:div>
    <w:div w:id="169372519">
      <w:bodyDiv w:val="1"/>
      <w:marLeft w:val="0"/>
      <w:marRight w:val="0"/>
      <w:marTop w:val="0"/>
      <w:marBottom w:val="0"/>
      <w:divBdr>
        <w:top w:val="none" w:sz="0" w:space="0" w:color="auto"/>
        <w:left w:val="none" w:sz="0" w:space="0" w:color="auto"/>
        <w:bottom w:val="none" w:sz="0" w:space="0" w:color="auto"/>
        <w:right w:val="none" w:sz="0" w:space="0" w:color="auto"/>
      </w:divBdr>
    </w:div>
    <w:div w:id="251354994">
      <w:bodyDiv w:val="1"/>
      <w:marLeft w:val="0"/>
      <w:marRight w:val="0"/>
      <w:marTop w:val="0"/>
      <w:marBottom w:val="0"/>
      <w:divBdr>
        <w:top w:val="none" w:sz="0" w:space="0" w:color="auto"/>
        <w:left w:val="none" w:sz="0" w:space="0" w:color="auto"/>
        <w:bottom w:val="none" w:sz="0" w:space="0" w:color="auto"/>
        <w:right w:val="none" w:sz="0" w:space="0" w:color="auto"/>
      </w:divBdr>
    </w:div>
    <w:div w:id="283536487">
      <w:bodyDiv w:val="1"/>
      <w:marLeft w:val="0"/>
      <w:marRight w:val="0"/>
      <w:marTop w:val="0"/>
      <w:marBottom w:val="0"/>
      <w:divBdr>
        <w:top w:val="none" w:sz="0" w:space="0" w:color="auto"/>
        <w:left w:val="none" w:sz="0" w:space="0" w:color="auto"/>
        <w:bottom w:val="none" w:sz="0" w:space="0" w:color="auto"/>
        <w:right w:val="none" w:sz="0" w:space="0" w:color="auto"/>
      </w:divBdr>
    </w:div>
    <w:div w:id="423918967">
      <w:bodyDiv w:val="1"/>
      <w:marLeft w:val="0"/>
      <w:marRight w:val="0"/>
      <w:marTop w:val="0"/>
      <w:marBottom w:val="0"/>
      <w:divBdr>
        <w:top w:val="none" w:sz="0" w:space="0" w:color="auto"/>
        <w:left w:val="none" w:sz="0" w:space="0" w:color="auto"/>
        <w:bottom w:val="none" w:sz="0" w:space="0" w:color="auto"/>
        <w:right w:val="none" w:sz="0" w:space="0" w:color="auto"/>
      </w:divBdr>
    </w:div>
    <w:div w:id="493952575">
      <w:bodyDiv w:val="1"/>
      <w:marLeft w:val="0"/>
      <w:marRight w:val="0"/>
      <w:marTop w:val="0"/>
      <w:marBottom w:val="0"/>
      <w:divBdr>
        <w:top w:val="none" w:sz="0" w:space="0" w:color="auto"/>
        <w:left w:val="none" w:sz="0" w:space="0" w:color="auto"/>
        <w:bottom w:val="none" w:sz="0" w:space="0" w:color="auto"/>
        <w:right w:val="none" w:sz="0" w:space="0" w:color="auto"/>
      </w:divBdr>
    </w:div>
    <w:div w:id="534850348">
      <w:bodyDiv w:val="1"/>
      <w:marLeft w:val="0"/>
      <w:marRight w:val="0"/>
      <w:marTop w:val="0"/>
      <w:marBottom w:val="0"/>
      <w:divBdr>
        <w:top w:val="none" w:sz="0" w:space="0" w:color="auto"/>
        <w:left w:val="none" w:sz="0" w:space="0" w:color="auto"/>
        <w:bottom w:val="none" w:sz="0" w:space="0" w:color="auto"/>
        <w:right w:val="none" w:sz="0" w:space="0" w:color="auto"/>
      </w:divBdr>
    </w:div>
    <w:div w:id="865752916">
      <w:bodyDiv w:val="1"/>
      <w:marLeft w:val="0"/>
      <w:marRight w:val="0"/>
      <w:marTop w:val="0"/>
      <w:marBottom w:val="0"/>
      <w:divBdr>
        <w:top w:val="none" w:sz="0" w:space="0" w:color="auto"/>
        <w:left w:val="none" w:sz="0" w:space="0" w:color="auto"/>
        <w:bottom w:val="none" w:sz="0" w:space="0" w:color="auto"/>
        <w:right w:val="none" w:sz="0" w:space="0" w:color="auto"/>
      </w:divBdr>
    </w:div>
    <w:div w:id="1053581498">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09664826">
      <w:bodyDiv w:val="1"/>
      <w:marLeft w:val="0"/>
      <w:marRight w:val="0"/>
      <w:marTop w:val="0"/>
      <w:marBottom w:val="0"/>
      <w:divBdr>
        <w:top w:val="none" w:sz="0" w:space="0" w:color="auto"/>
        <w:left w:val="none" w:sz="0" w:space="0" w:color="auto"/>
        <w:bottom w:val="none" w:sz="0" w:space="0" w:color="auto"/>
        <w:right w:val="none" w:sz="0" w:space="0" w:color="auto"/>
      </w:divBdr>
      <w:divsChild>
        <w:div w:id="233662554">
          <w:marLeft w:val="0"/>
          <w:marRight w:val="0"/>
          <w:marTop w:val="0"/>
          <w:marBottom w:val="0"/>
          <w:divBdr>
            <w:top w:val="none" w:sz="0" w:space="0" w:color="auto"/>
            <w:left w:val="none" w:sz="0" w:space="0" w:color="auto"/>
            <w:bottom w:val="none" w:sz="0" w:space="0" w:color="auto"/>
            <w:right w:val="none" w:sz="0" w:space="0" w:color="auto"/>
          </w:divBdr>
        </w:div>
      </w:divsChild>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00544025">
      <w:bodyDiv w:val="1"/>
      <w:marLeft w:val="0"/>
      <w:marRight w:val="0"/>
      <w:marTop w:val="0"/>
      <w:marBottom w:val="0"/>
      <w:divBdr>
        <w:top w:val="none" w:sz="0" w:space="0" w:color="auto"/>
        <w:left w:val="none" w:sz="0" w:space="0" w:color="auto"/>
        <w:bottom w:val="none" w:sz="0" w:space="0" w:color="auto"/>
        <w:right w:val="none" w:sz="0" w:space="0" w:color="auto"/>
      </w:divBdr>
    </w:div>
    <w:div w:id="1858301587">
      <w:bodyDiv w:val="1"/>
      <w:marLeft w:val="0"/>
      <w:marRight w:val="0"/>
      <w:marTop w:val="0"/>
      <w:marBottom w:val="0"/>
      <w:divBdr>
        <w:top w:val="none" w:sz="0" w:space="0" w:color="auto"/>
        <w:left w:val="none" w:sz="0" w:space="0" w:color="auto"/>
        <w:bottom w:val="none" w:sz="0" w:space="0" w:color="auto"/>
        <w:right w:val="none" w:sz="0" w:space="0" w:color="auto"/>
      </w:divBdr>
    </w:div>
    <w:div w:id="1934971174">
      <w:bodyDiv w:val="1"/>
      <w:marLeft w:val="0"/>
      <w:marRight w:val="0"/>
      <w:marTop w:val="0"/>
      <w:marBottom w:val="0"/>
      <w:divBdr>
        <w:top w:val="none" w:sz="0" w:space="0" w:color="auto"/>
        <w:left w:val="none" w:sz="0" w:space="0" w:color="auto"/>
        <w:bottom w:val="none" w:sz="0" w:space="0" w:color="auto"/>
        <w:right w:val="none" w:sz="0" w:space="0" w:color="auto"/>
      </w:divBdr>
    </w:div>
    <w:div w:id="1996641762">
      <w:bodyDiv w:val="1"/>
      <w:marLeft w:val="0"/>
      <w:marRight w:val="0"/>
      <w:marTop w:val="0"/>
      <w:marBottom w:val="0"/>
      <w:divBdr>
        <w:top w:val="none" w:sz="0" w:space="0" w:color="auto"/>
        <w:left w:val="none" w:sz="0" w:space="0" w:color="auto"/>
        <w:bottom w:val="none" w:sz="0" w:space="0" w:color="auto"/>
        <w:right w:val="none" w:sz="0" w:space="0" w:color="auto"/>
      </w:divBdr>
    </w:div>
    <w:div w:id="2020307658">
      <w:bodyDiv w:val="1"/>
      <w:marLeft w:val="0"/>
      <w:marRight w:val="0"/>
      <w:marTop w:val="0"/>
      <w:marBottom w:val="0"/>
      <w:divBdr>
        <w:top w:val="none" w:sz="0" w:space="0" w:color="auto"/>
        <w:left w:val="none" w:sz="0" w:space="0" w:color="auto"/>
        <w:bottom w:val="none" w:sz="0" w:space="0" w:color="auto"/>
        <w:right w:val="none" w:sz="0" w:space="0" w:color="auto"/>
      </w:divBdr>
      <w:divsChild>
        <w:div w:id="299728302">
          <w:marLeft w:val="0"/>
          <w:marRight w:val="0"/>
          <w:marTop w:val="0"/>
          <w:marBottom w:val="0"/>
          <w:divBdr>
            <w:top w:val="none" w:sz="0" w:space="0" w:color="auto"/>
            <w:left w:val="none" w:sz="0" w:space="0" w:color="auto"/>
            <w:bottom w:val="none" w:sz="0" w:space="0" w:color="auto"/>
            <w:right w:val="none" w:sz="0" w:space="0" w:color="auto"/>
          </w:divBdr>
        </w:div>
      </w:divsChild>
    </w:div>
    <w:div w:id="20803281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A3516-CB2D-47C8-87F4-684C681C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13</TotalTime>
  <Pages>16</Pages>
  <Words>4717</Words>
  <Characters>26890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31544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18</cp:revision>
  <cp:lastPrinted>2021-03-23T22:18:00Z</cp:lastPrinted>
  <dcterms:created xsi:type="dcterms:W3CDTF">2019-06-28T05:31:00Z</dcterms:created>
  <dcterms:modified xsi:type="dcterms:W3CDTF">2021-03-23T22:18:00Z</dcterms:modified>
  <cp:category/>
</cp:coreProperties>
</file>